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8.png" ContentType="image/png"/>
  <Override PartName="/word/media/rId40.png" ContentType="image/png"/>
  <Override PartName="/word/media/rId36.svg" ContentType="image/svg+xml"/>
  <Override PartName="/word/media/rId19.jpg" ContentType="image/jpeg"/>
  <Override PartName="/word/media/rId24.svg" ContentType="image/svg+xml"/>
  <Override PartName="/word/media/rId32.jpg" ContentType="image/jpe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ns6="http://schemas.microsoft.com/office/drawing/2010/main" xmlns:ns7="http://schemas.microsoft.com/office/drawing/2016/SVG/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Tsunamibølgers hastighed</w:t>
      </w:r>
    </w:p>
    <w:p>
      <w:pPr>
        <w:pStyle w:val="Subtitle"/>
      </w:pPr>
      <w:r>
        <w:t xml:space="preserve">Hvor hurtigt krydser en tsunami havet — og hvorfor bliver den farlig ved kysten?</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23" w:name="om-øvelsen"/>
    <w:p>
      <w:pPr>
        <w:pStyle w:val="Heading2"/>
      </w:pPr>
      <w:r>
        <w:t xml:space="preserve">Om øvelsen</w:t>
      </w:r>
    </w:p>
    <w:p>
      <w:pPr>
        <w:pStyle w:val="FirstParagraph"/>
      </w:pPr>
      <w:r>
        <w:t xml:space="preserve">En tsunami kan krydse et helt ocean på få timer. I denne øvelse undersøger I, hvordan en tsunamibølges hastighed afhænger af vanddybden. I laver bølger i et vandkar ved tre forskellige dybder, måler deres fart og sammenligner med den teoretiske formel. Bagefter bruger I formlen på det rigtige ocean.</w:t>
      </w:r>
    </w:p>
    <w:tbl>
      <w:tblPr>
        <w:tblStyle w:val="Table"/>
        <w:tblW w:type="pct" w:w="5000"/>
        <w:tblLayout w:type="fixed"/>
        <w:tblLook w:firstRow="0" w:lastRow="0" w:firstColumn="0" w:lastColumn="0" w:noHBand="0" w:noVBand="0" w:val="0000"/>
      </w:tblPr>
      <w:tblGrid>
        <w:gridCol w:w="7920"/>
      </w:tblGrid>
      <w:tr>
        <w:tc>
          <w:tcPr/>
          <w:bookmarkStart w:id="22" w:name="fig-tsunami-kyst"/>
          <w:p>
            <w:pPr>
              <w:pStyle w:val="Compact"/>
              <w:jc w:val="center"/>
            </w:pPr>
            <w:r>
              <w:drawing>
                <wp:inline>
                  <wp:extent cx="5486400" cy="3657600"/>
                  <wp:effectExtent b="0" l="0" r="0" t="0"/>
                  <wp:docPr descr="" title="" id="20" name="Picture"/>
                  <a:graphic>
                    <a:graphicData uri="http://schemas.openxmlformats.org/drawingml/2006/picture">
                      <pic:pic>
                        <pic:nvPicPr>
                          <pic:cNvPr descr="figurer/tsunami-kyst.jpg" id="21" name="Picture"/>
                          <pic:cNvPicPr>
                            <a:picLocks noChangeArrowheads="1" noChangeAspect="1"/>
                          </pic:cNvPicPr>
                        </pic:nvPicPr>
                        <pic:blipFill>
                          <a:blip r:embed="rId19"/>
                          <a:stretch>
                            <a:fillRect/>
                          </a:stretch>
                        </pic:blipFill>
                        <pic:spPr bwMode="auto">
                          <a:xfrm>
                            <a:off x="0" y="0"/>
                            <a:ext cx="5486400" cy="3657600"/>
                          </a:xfrm>
                          <a:prstGeom prst="rect">
                            <a:avLst/>
                          </a:prstGeom>
                          <a:noFill/>
                          <a:ln w="9525">
                            <a:noFill/>
                            <a:headEnd/>
                            <a:tailEnd/>
                          </a:ln>
                        </pic:spPr>
                      </pic:pic>
                    </a:graphicData>
                  </a:graphic>
                </wp:inline>
              </w:drawing>
            </w:r>
          </w:p>
          <w:p>
            <w:pPr>
              <w:jc w:val="center"/>
            </w:pPr>
            <w:pPr>
              <w:jc w:val="left"/>
              <w:spacing w:before="200"/>
              <w:pStyle w:val="ImageCaption"/>
            </w:pPr>
            <w:r>
              <w:t xml:space="preserve">Figur 1: En tsunami kan ved kysten vise sig som en bred strøm af indtrængende vand. På lavt vand falder bølgens hastighed, mens bølgehøjden kan vokse. AI-genereret illustration; ikke en bestemt hændelse eller en gengivelse i målestok.</w:t>
            </w:r>
          </w:p>
          <w:bookmarkEnd w:id="22"/>
        </w:tc>
      </w:tr>
    </w:tbl>
    <w:bookmarkEnd w:id="23"/>
    <w:bookmarkStart w:id="31" w:name="baggrund"/>
    <w:p>
      <w:pPr>
        <w:pStyle w:val="Heading2"/>
      </w:pPr>
      <w:r>
        <w:t xml:space="preserve">Baggrund</w:t>
      </w:r>
    </w:p>
    <w:p>
      <w:pPr>
        <w:pStyle w:val="FirstParagraph"/>
      </w:pPr>
      <w:r>
        <w:t xml:space="preserve">En almindelig bølge skabes af vinden og bevæger kun vandet tæt ved overfladen. En tsunami opstår, når hele vandsøjlen fra bund til overflade flyttes på én gang — fx når et jordskælv løfter en del af havbunden lodret, eller når et stort skred eller et vulkanudbrud skubber vandet til side (</w:t>
      </w:r>
      <w:hyperlink w:anchor="fig-tsunami">
        <w:r>
          <w:rPr>
            <w:rStyle w:val="Hyperlink"/>
          </w:rPr>
          <w:t xml:space="preserve">Figur 2</w:t>
        </w:r>
      </w:hyperlink>
      <w:r>
        <w:t xml:space="preserve">, øverst).</w:t>
      </w:r>
    </w:p>
    <w:p>
      <w:pPr>
        <w:pStyle w:val="BodyText"/>
      </w:pPr>
      <w:r>
        <w:t xml:space="preserve">Tsunamiens bølgelængde er flere hundrede kilometer, altså langt større end havets dybde. Derfor opfører den sig som en bølge på lavt vand, også ude midt på oceanet, og dens hastighed afhænger kun af vanddybden:</w:t>
      </w:r>
    </w:p>
    <w:p>
      <w:pPr>
        <w:pStyle w:val="BodyText"/>
      </w:pPr>
      <m:oMathPara>
        <m:oMathParaPr>
          <m:jc m:val="center"/>
        </m:oMathParaPr>
        <m:oMath>
          <m:r>
            <m:t>v</m:t>
          </m:r>
          <m:r>
            <m:rPr>
              <m:sty m:val="p"/>
            </m:rPr>
            <m:t>=</m:t>
          </m:r>
          <m:rad>
            <m:radPr>
              <m:degHide m:val="on"/>
            </m:radPr>
            <m:deg/>
            <m:e>
              <m:r>
                <m:t>g</m:t>
              </m:r>
              <m:r>
                <m:rPr>
                  <m:sty m:val="p"/>
                </m:rPr>
                <m:t>⋅</m:t>
              </m:r>
              <m:r>
                <m:t>d</m:t>
              </m:r>
            </m:e>
          </m:rad>
        </m:oMath>
      </m:oMathPara>
    </w:p>
    <w:p>
      <w:pPr>
        <w:pStyle w:val="FirstParagraph"/>
      </w:pPr>
      <w:r>
        <w:t xml:space="preserve">hvor</w:t>
      </w:r>
      <w:r>
        <w:t xml:space="preserve"> </w:t>
      </w:r>
      <m:oMath>
        <m:r>
          <m:t>v</m:t>
        </m:r>
      </m:oMath>
      <w:r>
        <w:t xml:space="preserve"> </w:t>
      </w:r>
      <w:r>
        <w:t xml:space="preserve">er hastigheden i m/s,</w:t>
      </w:r>
      <w:r>
        <w:t xml:space="preserve"> </w:t>
      </w:r>
      <m:oMath>
        <m:r>
          <m:t>g</m:t>
        </m:r>
        <m:r>
          <m:rPr>
            <m:sty m:val="p"/>
          </m:rPr>
          <m:t>=</m:t>
        </m:r>
        <m:r>
          <m:t>9</m:t>
        </m:r>
        <m:r>
          <m:rPr>
            <m:sty m:val="p"/>
          </m:rPr>
          <m:t>,</m:t>
        </m:r>
        <m:r>
          <m:t>81</m:t>
        </m:r>
        <m:r>
          <m:t> </m:t>
        </m:r>
        <m:sSup>
          <m:e>
            <m:r>
              <m:rPr>
                <m:nor/>
                <m:sty m:val="p"/>
              </m:rPr>
              <m:t>m/s</m:t>
            </m:r>
          </m:e>
          <m:sup>
            <m:r>
              <m:t>2</m:t>
            </m:r>
          </m:sup>
        </m:sSup>
      </m:oMath>
      <w:r>
        <w:t xml:space="preserve"> </w:t>
      </w:r>
      <w:r>
        <w:t xml:space="preserve">er tyngdeaccelerationen, og</w:t>
      </w:r>
      <w:r>
        <w:t xml:space="preserve"> </w:t>
      </w:r>
      <m:oMath>
        <m:r>
          <m:t>d</m:t>
        </m:r>
      </m:oMath>
      <w:r>
        <w:t xml:space="preserve"> </w:t>
      </w:r>
      <w:r>
        <w:t xml:space="preserve">er vanddybden i meter.</w:t>
      </w:r>
    </w:p>
    <w:p>
      <w:pPr>
        <w:pStyle w:val="BodyText"/>
      </w:pPr>
      <w:r>
        <w:t xml:space="preserve">Når bølgen når ind på lavt vand ved kysten, bremses den. Bølgerne bagved indhenter dem foran, og vandet hober sig op (</w:t>
      </w:r>
      <w:hyperlink w:anchor="fig-tsunami">
        <w:r>
          <w:rPr>
            <w:rStyle w:val="Hyperlink"/>
          </w:rPr>
          <w:t xml:space="preserve">Figur 2</w:t>
        </w:r>
      </w:hyperlink>
      <w:r>
        <w:t xml:space="preserve">, nederst).</w:t>
      </w:r>
    </w:p>
    <w:tbl>
      <w:tblPr>
        <w:tblStyle w:val="Table"/>
        <w:tblW w:type="pct" w:w="5000"/>
        <w:tblLayout w:type="fixed"/>
        <w:tblLook w:firstRow="0" w:lastRow="0" w:firstColumn="0" w:lastColumn="0" w:noHBand="0" w:noVBand="0" w:val="0000"/>
      </w:tblPr>
      <w:tblGrid>
        <w:gridCol w:w="7920"/>
      </w:tblGrid>
      <w:tr>
        <w:tc>
          <w:tcPr/>
          <w:bookmarkStart w:id="27" w:name="fig-tsunami"/>
          <w:p>
            <w:pPr>
              <w:pStyle w:val="Compact"/>
              <w:jc w:val="center"/>
            </w:pPr>
            <w:r>
              <w:drawing>
                <wp:inline>
                  <wp:extent cx="6096000" cy="4095750"/>
                  <wp:effectExtent b="0" l="0" r="0" t="0"/>
                  <wp:docPr descr="" title="" id="25" name="Picture"/>
                  <a:graphic>
                    <a:graphicData uri="http://schemas.openxmlformats.org/drawingml/2006/picture">
                      <pic:pic>
                        <pic:nvPicPr>
                          <pic:cNvPr descr="figurer/tsunami.svg" id="26" name="Picture"/>
                          <pic:cNvPicPr>
                            <a:picLocks noChangeArrowheads="1" noChangeAspect="1"/>
                          </pic:cNvPicPr>
                        </pic:nvPicPr>
                        <pic:blipFill>
                          <a:blip>
                            <a:extLst>
                              <a:ext uri="{28A0092B-C50C-407E-A947-70E740481C1C}">
                                <ns6:useLocalDpi val="0"/>
                              </a:ext>
                              <a:ext uri="{96DAC541-7B7A-43D3-8B79-37D633B846F1}">
                                <ns7:svgBlip r:embed="rId24"/>
                              </a:ext>
                            </a:extLst>
                          </a:blip>
                          <a:stretch>
                            <a:fillRect/>
                          </a:stretch>
                        </pic:blipFill>
                        <pic:spPr bwMode="auto">
                          <a:xfrm>
                            <a:off x="0" y="0"/>
                            <a:ext cx="6096000" cy="4095750"/>
                          </a:xfrm>
                          <a:prstGeom prst="rect">
                            <a:avLst/>
                          </a:prstGeom>
                          <a:noFill/>
                          <a:ln w="9525">
                            <a:noFill/>
                            <a:headEnd/>
                            <a:tailEnd/>
                          </a:ln>
                        </pic:spPr>
                      </pic:pic>
                    </a:graphicData>
                  </a:graphic>
                </wp:inline>
              </w:drawing>
            </w:r>
          </w:p>
          <w:p>
            <w:pPr>
              <w:jc w:val="center"/>
            </w:pPr>
            <w:pPr>
              <w:jc w:val="left"/>
              <w:spacing w:before="200"/>
              <w:pStyle w:val="ImageCaption"/>
            </w:pPr>
            <w:r>
              <w:t xml:space="preserve">Figur 2: Øverst: et jordskælv løfter havbunden, og hele vandsøjlen over den løftes med. Nederst: på vej ind mod kysten bliver bølgen langsommere, kortere og højere.</w:t>
            </w:r>
          </w:p>
          <w:bookmarkEnd w:id="27"/>
        </w:tc>
      </w:tr>
    </w:tbl>
    <w:p>
      <w:pPr>
        <w:pStyle w:val="BodyText"/>
      </w:pPr>
      <w:r>
        <w:t xml:space="preserve">Bølgen i vandkarret er også en bølge på lavt vand: den er meget længere, end vandet er dybt. Derfor gælder samme formel i karret som på oceanet.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workspace/tools/quarto-1.10.18/share/formats/docx/note.png" id="30"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1"/>
              </w:numPr>
            </w:pPr>
            <w:r>
              <w:t xml:space="preserve">Bedroller (lav opbevaringskasse til under sengen) eller et andet aflangt kar med lodrette sider og plan bund</w:t>
            </w:r>
          </w:p>
          <w:p>
            <w:pPr>
              <w:pStyle w:val="Compact"/>
              <w:numPr>
                <w:ilvl w:val="0"/>
                <w:numId w:val="1001"/>
              </w:numPr>
            </w:pPr>
            <w:r>
              <w:t xml:space="preserve">Tommestok</w:t>
            </w:r>
          </w:p>
          <w:p>
            <w:pPr>
              <w:pStyle w:val="Compact"/>
              <w:numPr>
                <w:ilvl w:val="0"/>
                <w:numId w:val="1001"/>
              </w:numPr>
            </w:pPr>
            <w:r>
              <w:t xml:space="preserve">Stopur, fx i mobiltelefonen</w:t>
            </w:r>
          </w:p>
          <w:p>
            <w:pPr>
              <w:pStyle w:val="Compact"/>
              <w:numPr>
                <w:ilvl w:val="0"/>
                <w:numId w:val="1001"/>
              </w:numPr>
            </w:pPr>
            <w:r>
              <w:t xml:space="preserve">En klods eller bog, der er ca. 5 cm høj</w:t>
            </w:r>
          </w:p>
          <w:p>
            <w:pPr>
              <w:pStyle w:val="Compact"/>
              <w:numPr>
                <w:ilvl w:val="0"/>
                <w:numId w:val="1001"/>
              </w:numPr>
            </w:pPr>
            <w:r>
              <w:t xml:space="preserve">Vand</w:t>
            </w:r>
          </w:p>
          <w:p/>
        </w:tc>
      </w:tr>
    </w:tbl>
    <w:bookmarkEnd w:id="31"/>
    <w:bookmarkStart w:id="43" w:name="fremgangsmåde"/>
    <w:p>
      <w:pPr>
        <w:pStyle w:val="Heading2"/>
      </w:pPr>
      <w:r>
        <w:t xml:space="preserve">Fremgangsmåde</w:t>
      </w:r>
    </w:p>
    <w:tbl>
      <w:tblPr>
        <w:tblStyle w:val="Table"/>
        <w:tblW w:type="pct" w:w="5000"/>
        <w:tblLayout w:type="fixed"/>
        <w:tblLook w:firstRow="0" w:lastRow="0" w:firstColumn="0" w:lastColumn="0" w:noHBand="0" w:noVBand="0" w:val="0000"/>
      </w:tblPr>
      <w:tblGrid>
        <w:gridCol w:w="7920"/>
      </w:tblGrid>
      <w:tr>
        <w:tc>
          <w:tcPr/>
          <w:bookmarkStart w:id="35" w:name="fig-vandkar-foto"/>
          <w:p>
            <w:pPr>
              <w:pStyle w:val="Compact"/>
              <w:jc w:val="center"/>
            </w:pPr>
            <w:r>
              <w:drawing>
                <wp:inline>
                  <wp:extent cx="5486400" cy="3657600"/>
                  <wp:effectExtent b="0" l="0" r="0" t="0"/>
                  <wp:docPr descr="" title="" id="33" name="Picture"/>
                  <a:graphic>
                    <a:graphicData uri="http://schemas.openxmlformats.org/drawingml/2006/picture">
                      <pic:pic>
                        <pic:nvPicPr>
                          <pic:cNvPr descr="figurer/vandkar-forsog.jpg" id="34" name="Picture"/>
                          <pic:cNvPicPr>
                            <a:picLocks noChangeArrowheads="1" noChangeAspect="1"/>
                          </pic:cNvPicPr>
                        </pic:nvPicPr>
                        <pic:blipFill>
                          <a:blip r:embed="rId32"/>
                          <a:stretch>
                            <a:fillRect/>
                          </a:stretch>
                        </pic:blipFill>
                        <pic:spPr bwMode="auto">
                          <a:xfrm>
                            <a:off x="0" y="0"/>
                            <a:ext cx="5486400" cy="3657600"/>
                          </a:xfrm>
                          <a:prstGeom prst="rect">
                            <a:avLst/>
                          </a:prstGeom>
                          <a:noFill/>
                          <a:ln w="9525">
                            <a:noFill/>
                            <a:headEnd/>
                            <a:tailEnd/>
                          </a:ln>
                        </pic:spPr>
                      </pic:pic>
                    </a:graphicData>
                  </a:graphic>
                </wp:inline>
              </w:drawing>
            </w:r>
          </w:p>
          <w:p>
            <w:pPr>
              <w:jc w:val="center"/>
            </w:pPr>
            <w:pPr>
              <w:jc w:val="left"/>
              <w:spacing w:before="200"/>
              <w:pStyle w:val="ImageCaption"/>
            </w:pPr>
            <w:r>
              <w:t xml:space="preserve">Figur 3: Eksempel på forsøgsopstillingen: et aflangt, gennemsigtigt vandkar, en tommestok, en klods og en mobiltelefon til tidtagning. Her står karret vandret, som under målingen. AI-genereret illustration; mål altid længde og vanddybde i jeres eget kar.</w:t>
            </w:r>
          </w:p>
          <w:bookmarkEnd w:id="35"/>
        </w:tc>
      </w:tr>
    </w:tbl>
    <w:p>
      <w:pPr>
        <w:pStyle w:val="Compact"/>
        <w:numPr>
          <w:ilvl w:val="0"/>
          <w:numId w:val="1002"/>
        </w:numPr>
      </w:pPr>
      <w:r>
        <w:t xml:space="preserve">Mål karrets indvendige længde</w:t>
      </w:r>
      <w:r>
        <w:t xml:space="preserve"> </w:t>
      </w:r>
      <m:oMath>
        <m:r>
          <m:t>L</m:t>
        </m:r>
      </m:oMath>
      <w:r>
        <w:t xml:space="preserve">. Det er én banelængde. Skriv den over</w:t>
      </w:r>
      <w:r>
        <w:t xml:space="preserve"> </w:t>
      </w:r>
      <w:hyperlink w:anchor="tbl-1">
        <w:r>
          <w:rPr>
            <w:rStyle w:val="Hyperlink"/>
          </w:rPr>
          <w:t xml:space="preserve">Tabel 1</w:t>
        </w:r>
      </w:hyperlink>
      <w:r>
        <w:t xml:space="preserve">.</w:t>
      </w:r>
    </w:p>
    <w:p>
      <w:pPr>
        <w:pStyle w:val="Compact"/>
        <w:numPr>
          <w:ilvl w:val="0"/>
          <w:numId w:val="1002"/>
        </w:numPr>
      </w:pPr>
      <w:r>
        <w:t xml:space="preserve">Stil karret på et vandret bord, og fyld vand i, til dybden er ca. 0,025 m (2,5 cm). Mål dybden så nøjagtigt som muligt, gerne et par steder i karret, og skriv den i</w:t>
      </w:r>
      <w:r>
        <w:t xml:space="preserve"> </w:t>
      </w:r>
      <w:hyperlink w:anchor="tbl-1">
        <w:r>
          <w:rPr>
            <w:rStyle w:val="Hyperlink"/>
          </w:rPr>
          <w:t xml:space="preserve">Tabel 1</w:t>
        </w:r>
      </w:hyperlink>
      <w:r>
        <w:t xml:space="preserve">.</w:t>
      </w:r>
    </w:p>
    <w:p>
      <w:pPr>
        <w:pStyle w:val="Compact"/>
        <w:numPr>
          <w:ilvl w:val="0"/>
          <w:numId w:val="1002"/>
        </w:numPr>
      </w:pPr>
      <w:r>
        <w:t xml:space="preserve">Løft den ene ende (A) ca. 5 cm, fx op på en klods, og vent, til vandet står stille (</w:t>
      </w:r>
      <w:hyperlink w:anchor="fig-opstilling">
        <w:r>
          <w:rPr>
            <w:rStyle w:val="Hyperlink"/>
          </w:rPr>
          <w:t xml:space="preserve">Figur 4</w:t>
        </w:r>
      </w:hyperlink>
      <w:r>
        <w:t xml:space="preserve">, øverst).</w:t>
      </w:r>
    </w:p>
    <w:p>
      <w:pPr>
        <w:pStyle w:val="Compact"/>
        <w:numPr>
          <w:ilvl w:val="0"/>
          <w:numId w:val="1002"/>
        </w:numPr>
      </w:pPr>
      <w:r>
        <w:t xml:space="preserve">Sæt karret ned igen i én rolig bevægelse, og start stopuret i samme øjeblik. Der starter nu en bølge i den ende, der blev stående (B). Den løber mod A, bliver kastet tilbage af den lodrette side og fortsætter frem og tilbage.</w:t>
      </w:r>
    </w:p>
    <w:p>
      <w:pPr>
        <w:pStyle w:val="Compact"/>
        <w:numPr>
          <w:ilvl w:val="0"/>
          <w:numId w:val="1002"/>
        </w:numPr>
      </w:pPr>
      <w:r>
        <w:t xml:space="preserve">Stop uret, når bølgen har løbet fem banelængder. Det er, når den rammer ende A for tredje gang (</w:t>
      </w:r>
      <w:hyperlink w:anchor="fig-opstilling">
        <w:r>
          <w:rPr>
            <w:rStyle w:val="Hyperlink"/>
          </w:rPr>
          <w:t xml:space="preserve">Figur 4</w:t>
        </w:r>
      </w:hyperlink>
      <w:r>
        <w:t xml:space="preserve">, nederst). Skriv tiden i</w:t>
      </w:r>
      <w:r>
        <w:t xml:space="preserve"> </w:t>
      </w:r>
      <w:hyperlink w:anchor="tbl-1">
        <w:r>
          <w:rPr>
            <w:rStyle w:val="Hyperlink"/>
          </w:rPr>
          <w:t xml:space="preserve">Tabel 1</w:t>
        </w:r>
      </w:hyperlink>
      <w:r>
        <w:t xml:space="preserve">.</w:t>
      </w:r>
    </w:p>
    <w:p>
      <w:pPr>
        <w:pStyle w:val="Compact"/>
        <w:numPr>
          <w:ilvl w:val="0"/>
          <w:numId w:val="1002"/>
        </w:numPr>
      </w:pPr>
      <w:r>
        <w:t xml:space="preserve">Gentag trin 3–5, så I har fire målinger ved samme dybde.</w:t>
      </w:r>
    </w:p>
    <w:p>
      <w:pPr>
        <w:pStyle w:val="Compact"/>
        <w:numPr>
          <w:ilvl w:val="0"/>
          <w:numId w:val="1002"/>
        </w:numPr>
      </w:pPr>
      <w:r>
        <w:t xml:space="preserve">Gentag det hele med en vanddybde på ca. 0,05 m og ca. 0,10 m.</w:t>
      </w:r>
    </w:p>
    <w:tbl>
      <w:tblPr>
        <w:tblStyle w:val="Table"/>
        <w:tblW w:type="pct" w:w="5000"/>
        <w:tblLayout w:type="fixed"/>
        <w:tblLook w:firstRow="0" w:lastRow="0" w:firstColumn="0" w:lastColumn="0" w:noHBand="0" w:noVBand="0" w:val="0000"/>
      </w:tblPr>
      <w:tblGrid>
        <w:gridCol w:w="7920"/>
      </w:tblGrid>
      <w:tr>
        <w:tc>
          <w:tcPr/>
          <w:bookmarkStart w:id="39" w:name="fig-opstilling"/>
          <w:p>
            <w:pPr>
              <w:pStyle w:val="Compact"/>
              <w:jc w:val="center"/>
            </w:pPr>
            <w:r>
              <w:drawing>
                <wp:inline>
                  <wp:extent cx="6096000" cy="4095750"/>
                  <wp:effectExtent b="0" l="0" r="0" t="0"/>
                  <wp:docPr descr="" title="" id="37" name="Picture"/>
                  <a:graphic>
                    <a:graphicData uri="http://schemas.openxmlformats.org/drawingml/2006/picture">
                      <pic:pic>
                        <pic:nvPicPr>
                          <pic:cNvPr descr="figurer/opstilling.svg" id="38" name="Picture"/>
                          <pic:cNvPicPr>
                            <a:picLocks noChangeArrowheads="1" noChangeAspect="1"/>
                          </pic:cNvPicPr>
                        </pic:nvPicPr>
                        <pic:blipFill>
                          <a:blip>
                            <a:extLst>
                              <a:ext uri="{28A0092B-C50C-407E-A947-70E740481C1C}">
                                <ns6:useLocalDpi val="0"/>
                              </a:ext>
                              <a:ext uri="{96DAC541-7B7A-43D3-8B79-37D633B846F1}">
                                <ns7:svgBlip r:embed="rId36"/>
                              </a:ext>
                            </a:extLst>
                          </a:blip>
                          <a:stretch>
                            <a:fillRect/>
                          </a:stretch>
                        </pic:blipFill>
                        <pic:spPr bwMode="auto">
                          <a:xfrm>
                            <a:off x="0" y="0"/>
                            <a:ext cx="6096000" cy="4095750"/>
                          </a:xfrm>
                          <a:prstGeom prst="rect">
                            <a:avLst/>
                          </a:prstGeom>
                          <a:noFill/>
                          <a:ln w="9525">
                            <a:noFill/>
                            <a:headEnd/>
                            <a:tailEnd/>
                          </a:ln>
                        </pic:spPr>
                      </pic:pic>
                    </a:graphicData>
                  </a:graphic>
                </wp:inline>
              </w:drawing>
            </w:r>
          </w:p>
          <w:p>
            <w:pPr>
              <w:jc w:val="center"/>
            </w:pPr>
            <w:pPr>
              <w:jc w:val="left"/>
              <w:spacing w:before="200"/>
              <w:pStyle w:val="ImageCaption"/>
            </w:pPr>
            <w:r>
              <w:t xml:space="preserve">Figur 4: Opstillingen. Ende A løftes, og vandet bliver dybest i ende B (1). Når karret sættes ned, løber bølgen frem og tilbage, og I tager tid på fem banelængder (2).</w:t>
            </w:r>
          </w:p>
          <w:bookmarkEnd w:id="39"/>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keepN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workspace/tools/quarto-1.10.18/share/formats/docx/tip.png" id="42" name="Picture"/>
                          <pic:cNvPicPr>
                            <a:picLocks noChangeArrowheads="1" noChangeAspect="1"/>
                          </pic:cNvPicPr>
                        </pic:nvPicPr>
                        <pic:blipFill>
                          <a:blip r:embed="rId4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Compact"/>
              <w:numPr>
                <w:ilvl w:val="0"/>
                <w:numId w:val="1003"/>
              </w:numPr>
            </w:pPr>
            <w:r>
              <w:t xml:space="preserve">Tæl højt, hver gang bølgen rammer en ende. Det er let at tælle forkert.</w:t>
            </w:r>
          </w:p>
          <w:p>
            <w:pPr>
              <w:pStyle w:val="Compact"/>
              <w:numPr>
                <w:ilvl w:val="0"/>
                <w:numId w:val="1003"/>
              </w:numPr>
            </w:pPr>
            <w:r>
              <w:t xml:space="preserve">Bølgen er lettest at se som en skygge på bunden af karret eller som en lysrefleks i overfladen.</w:t>
            </w:r>
          </w:p>
          <w:p/>
        </w:tc>
      </w:tr>
    </w:tbl>
    <w:bookmarkEnd w:id="43"/>
    <w:bookmarkStart w:id="45" w:name="registrering-af-målinger"/>
    <w:p>
      <w:pPr>
        <w:pStyle w:val="Heading2"/>
      </w:pPr>
      <w:r>
        <w:t xml:space="preserve">Registrering af målinger</w:t>
      </w:r>
    </w:p>
    <w:p>
      <w:pPr>
        <w:pStyle w:val="FirstParagraph"/>
      </w:pPr>
      <w:r>
        <w:t xml:space="preserve">Karrets længde, 1 banelængde:</w:t>
      </w:r>
      <w:r>
        <w:t xml:space="preserve"> </w:t>
      </w:r>
      <m:oMath>
        <m:r>
          <m:t>L</m:t>
        </m:r>
      </m:oMath>
      <w:r>
        <w:t xml:space="preserve"> </w:t>
      </w:r>
      <w:r>
        <w:t xml:space="preserve">= _________ m</w:t>
      </w:r>
      <w:r>
        <w:br/>
      </w:r>
      <w:r>
        <w:t xml:space="preserve">Samlet distance, 5 banelængder:</w:t>
      </w:r>
      <w:r>
        <w:t xml:space="preserve"> </w:t>
      </w:r>
      <m:oMath>
        <m:r>
          <m:t>s</m:t>
        </m:r>
        <m:r>
          <m:rPr>
            <m:sty m:val="p"/>
          </m:rPr>
          <m:t>=</m:t>
        </m:r>
        <m:r>
          <m:t>5</m:t>
        </m:r>
        <m:r>
          <m:rPr>
            <m:sty m:val="p"/>
          </m:rPr>
          <m:t>⋅</m:t>
        </m:r>
        <m:r>
          <m:t>L</m:t>
        </m:r>
      </m:oMath>
      <w:r>
        <w:t xml:space="preserve"> </w:t>
      </w:r>
      <w:r>
        <w:t xml:space="preserve">= _________ m</w:t>
      </w:r>
    </w:p>
    <w:tbl>
      <w:tblPr>
        <w:tblStyle w:val="Table"/>
        <w:tblW w:type="pct" w:w="5000"/>
        <w:tblLayout w:type="fixed"/>
        <w:tblLook w:firstRow="0" w:lastRow="0" w:firstColumn="0" w:lastColumn="0" w:noHBand="0" w:noVBand="0" w:val="0000"/>
      </w:tblPr>
      <w:tblGrid>
        <w:gridCol w:w="7920"/>
      </w:tblGrid>
      <w:tr>
        <w:tc>
          <w:tcPr/>
          <w:bookmarkStart w:id="44" w:name="tbl-1"/>
          <w:p>
            <w:pPr>
              <w:jc w:val="center"/>
            </w:pPr>
            <w:pPr>
              <w:jc w:val="left"/>
              <w:spacing w:before="200"/>
              <w:pStyle w:val="ImageCaption"/>
            </w:pPr>
            <w:r>
              <w:t xml:space="preserve">Tabel 1: Rådata: tiden for fem banelængder ved tre vanddybder.</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cantSplit/>
                <w:tblHeader w:val="on"/>
              </w:trPr>
              <w:tc>
                <w:tcPr/>
                <w:p>
                  <w:pPr>
                    <w:pStyle w:val="Compact"/>
                    <w:keepNext/>
                    <w:jc w:val="center"/>
                    <w:jc w:val="center"/>
                  </w:pPr>
                  <w:r>
                    <w:t xml:space="preserve">Dybde, ca.</w:t>
                  </w:r>
                </w:p>
              </w:tc>
              <w:tc>
                <w:tcPr/>
                <w:p>
                  <w:pPr>
                    <w:pStyle w:val="Compact"/>
                    <w:keepNext/>
                    <w:jc w:val="center"/>
                    <w:jc w:val="center"/>
                  </w:pPr>
                  <w:r>
                    <w:t xml:space="preserve">Målt dybde</w:t>
                  </w:r>
                  <w:r>
                    <w:t xml:space="preserve"> </w:t>
                  </w:r>
                  <m:oMath>
                    <m:r>
                      <m:t>d</m:t>
                    </m:r>
                  </m:oMath>
                  <w:r>
                    <w:t xml:space="preserve"> </w:t>
                  </w:r>
                  <w:r>
                    <w:t xml:space="preserve">(m)</w:t>
                  </w:r>
                </w:p>
              </w:tc>
              <w:tc>
                <w:tcPr/>
                <w:p>
                  <w:pPr>
                    <w:pStyle w:val="Compact"/>
                    <w:keepNext/>
                    <w:jc w:val="center"/>
                    <w:jc w:val="center"/>
                  </w:pPr>
                  <w:r>
                    <w:t xml:space="preserve">Tid, måling 1 (s)</w:t>
                  </w:r>
                </w:p>
              </w:tc>
              <w:tc>
                <w:tcPr/>
                <w:p>
                  <w:pPr>
                    <w:pStyle w:val="Compact"/>
                    <w:keepNext/>
                    <w:jc w:val="center"/>
                    <w:jc w:val="center"/>
                  </w:pPr>
                  <w:r>
                    <w:t xml:space="preserve">Tid, måling 2 (s)</w:t>
                  </w:r>
                </w:p>
              </w:tc>
              <w:tc>
                <w:tcPr/>
                <w:p>
                  <w:pPr>
                    <w:pStyle w:val="Compact"/>
                    <w:keepNext/>
                    <w:jc w:val="center"/>
                    <w:jc w:val="center"/>
                  </w:pPr>
                  <w:r>
                    <w:t xml:space="preserve">Tid, måling 3 (s)</w:t>
                  </w:r>
                </w:p>
              </w:tc>
              <w:tc>
                <w:tcPr/>
                <w:p>
                  <w:pPr>
                    <w:pStyle w:val="Compact"/>
                    <w:keepNext/>
                    <w:jc w:val="center"/>
                    <w:jc w:val="center"/>
                  </w:pPr>
                  <w:r>
                    <w:t xml:space="preserve">Tid, måling 4 (s)</w:t>
                  </w:r>
                </w:p>
              </w:tc>
            </w:tr>
            <w:tr>
              <w:trPr>
                <w:cantSplit/>
              </w:trPr>
              <w:tc>
                <w:tcPr/>
                <w:p>
                  <w:pPr>
                    <w:pStyle w:val="Compact"/>
                    <w:keepNext/>
                    <w:jc w:val="center"/>
                    <w:jc w:val="center"/>
                  </w:pPr>
                  <w:r>
                    <w:t xml:space="preserve">0,025 m</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0,05 m</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t xml:space="preserve">0,10 m</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4"/>
          <w:p/>
        </w:tc>
      </w:tr>
    </w:tbl>
    <w:bookmarkEnd w:id="45"/>
    <w:bookmarkStart w:id="48" w:name="databehandling"/>
    <w:p>
      <w:pPr>
        <w:pStyle w:val="Heading2"/>
      </w:pPr>
      <w:r>
        <w:t xml:space="preserve">Databehandling</w:t>
      </w:r>
    </w:p>
    <w:p>
      <w:pPr>
        <w:numPr>
          <w:ilvl w:val="0"/>
          <w:numId w:val="1004"/>
        </w:numPr>
      </w:pPr>
      <w:r>
        <w:t xml:space="preserve">Beregn gennemsnittet</w:t>
      </w:r>
      <w:r>
        <w:t xml:space="preserve"> </w:t>
      </w:r>
      <m:oMath>
        <m:acc>
          <m:accPr>
            <m:chr m:val="‾"/>
          </m:accPr>
          <m:e>
            <m:r>
              <m:t>t</m:t>
            </m:r>
          </m:e>
        </m:acc>
      </m:oMath>
      <w:r>
        <w:t xml:space="preserve"> </w:t>
      </w:r>
      <w:r>
        <w:t xml:space="preserve">af de fire tider ved hver dybde.</w:t>
      </w:r>
    </w:p>
    <w:p>
      <w:pPr>
        <w:numPr>
          <w:ilvl w:val="0"/>
          <w:numId w:val="1004"/>
        </w:numPr>
      </w:pPr>
      <w:r>
        <w:t xml:space="preserve">Beregn bølgens målte hastighed ud fra den samlede distance:</w:t>
      </w:r>
    </w:p>
    <w:p>
      <w:pPr>
        <w:pStyle w:val="FirstParagraph"/>
      </w:pPr>
      <m:oMathPara>
        <m:oMathParaPr>
          <m:jc m:val="center"/>
        </m:oMathParaPr>
        <m:oMath>
          <m:sSub>
            <m:e>
              <m:r>
                <m:t>v</m:t>
              </m:r>
            </m:e>
            <m:sub>
              <m:r>
                <m:rPr>
                  <m:nor/>
                  <m:sty m:val="p"/>
                </m:rPr>
                <m:t>målt</m:t>
              </m:r>
            </m:sub>
          </m:sSub>
          <m:r>
            <m:rPr>
              <m:sty m:val="p"/>
            </m:rPr>
            <m:t>=</m:t>
          </m:r>
          <m:f>
            <m:fPr>
              <m:type m:val="bar"/>
            </m:fPr>
            <m:num>
              <m:r>
                <m:t>s</m:t>
              </m:r>
            </m:num>
            <m:den>
              <m:acc>
                <m:accPr>
                  <m:chr m:val="‾"/>
                </m:accPr>
                <m:e>
                  <m:r>
                    <m:t>t</m:t>
                  </m:r>
                </m:e>
              </m:acc>
            </m:den>
          </m:f>
          <m:r>
            <m:rPr>
              <m:sty m:val="p"/>
            </m:rPr>
            <m:t>=</m:t>
          </m:r>
          <m:f>
            <m:fPr>
              <m:type m:val="bar"/>
            </m:fPr>
            <m:num>
              <m:r>
                <m:t>5</m:t>
              </m:r>
              <m:r>
                <m:rPr>
                  <m:sty m:val="p"/>
                </m:rPr>
                <m:t>⋅</m:t>
              </m:r>
              <m:r>
                <m:t>L</m:t>
              </m:r>
            </m:num>
            <m:den>
              <m:acc>
                <m:accPr>
                  <m:chr m:val="‾"/>
                </m:accPr>
                <m:e>
                  <m:r>
                    <m:t>t</m:t>
                  </m:r>
                </m:e>
              </m:acc>
            </m:den>
          </m:f>
        </m:oMath>
      </m:oMathPara>
    </w:p>
    <w:p>
      <w:pPr>
        <w:pStyle w:val="Compact"/>
        <w:numPr>
          <w:ilvl w:val="0"/>
          <w:numId w:val="1005"/>
        </w:numPr>
      </w:pPr>
      <w:r>
        <w:t xml:space="preserve">Beregn den teoretiske hastighed ved jeres målte dybder:</w:t>
      </w:r>
    </w:p>
    <w:p>
      <w:pPr>
        <w:pStyle w:val="FirstParagraph"/>
      </w:pPr>
      <m:oMathPara>
        <m:oMathParaPr>
          <m:jc m:val="center"/>
        </m:oMathParaPr>
        <m:oMath>
          <m:sSub>
            <m:e>
              <m:r>
                <m:t>v</m:t>
              </m:r>
            </m:e>
            <m:sub>
              <m:r>
                <m:rPr>
                  <m:nor/>
                  <m:sty m:val="p"/>
                </m:rPr>
                <m:t>teori</m:t>
              </m:r>
            </m:sub>
          </m:sSub>
          <m:r>
            <m:rPr>
              <m:sty m:val="p"/>
            </m:rPr>
            <m:t>=</m:t>
          </m:r>
          <m:rad>
            <m:radPr>
              <m:degHide m:val="on"/>
            </m:radPr>
            <m:deg/>
            <m:e>
              <m:r>
                <m:t>g</m:t>
              </m:r>
              <m:r>
                <m:rPr>
                  <m:sty m:val="p"/>
                </m:rPr>
                <m:t>⋅</m:t>
              </m:r>
              <m:r>
                <m:t>d</m:t>
              </m:r>
            </m:e>
          </m:rad>
        </m:oMath>
      </m:oMathPara>
    </w:p>
    <w:p>
      <w:pPr>
        <w:pStyle w:val="Compact"/>
        <w:numPr>
          <w:ilvl w:val="0"/>
          <w:numId w:val="1006"/>
        </w:numPr>
      </w:pPr>
      <w:r>
        <w:t xml:space="preserve">Beregn afvigelsen mellem den målte og den teoretiske hastighed:</w:t>
      </w:r>
    </w:p>
    <w:p>
      <w:pPr>
        <w:pStyle w:val="FirstParagraph"/>
      </w:pPr>
      <m:oMathPara>
        <m:oMathParaPr>
          <m:jc m:val="center"/>
        </m:oMathParaPr>
        <m:oMath>
          <m:r>
            <m:rPr>
              <m:nor/>
              <m:sty m:val="p"/>
            </m:rPr>
            <m:t>afvigelse</m:t>
          </m:r>
          <m:r>
            <m:rPr>
              <m:sty m:val="p"/>
            </m:rPr>
            <m:t>=</m:t>
          </m:r>
          <m:f>
            <m:fPr>
              <m:type m:val="bar"/>
            </m:fPr>
            <m:num>
              <m:sSub>
                <m:e>
                  <m:r>
                    <m:t>v</m:t>
                  </m:r>
                </m:e>
                <m:sub>
                  <m:r>
                    <m:rPr>
                      <m:nor/>
                      <m:sty m:val="p"/>
                    </m:rPr>
                    <m:t>målt</m:t>
                  </m:r>
                </m:sub>
              </m:sSub>
              <m:r>
                <m:rPr>
                  <m:sty m:val="p"/>
                </m:rPr>
                <m:t>−</m:t>
              </m:r>
              <m:sSub>
                <m:e>
                  <m:r>
                    <m:t>v</m:t>
                  </m:r>
                </m:e>
                <m:sub>
                  <m:r>
                    <m:rPr>
                      <m:nor/>
                      <m:sty m:val="p"/>
                    </m:rPr>
                    <m:t>teori</m:t>
                  </m:r>
                </m:sub>
              </m:sSub>
            </m:num>
            <m:den>
              <m:sSub>
                <m:e>
                  <m:r>
                    <m:t>v</m:t>
                  </m:r>
                </m:e>
                <m:sub>
                  <m:r>
                    <m:rPr>
                      <m:nor/>
                      <m:sty m:val="p"/>
                    </m:rPr>
                    <m:t>teori</m:t>
                  </m:r>
                </m:sub>
              </m:sSub>
            </m:den>
          </m:f>
          <m:r>
            <m:rPr>
              <m:sty m:val="p"/>
            </m:rPr>
            <m:t>⋅</m:t>
          </m:r>
          <m:r>
            <m:t>100</m:t>
          </m:r>
          <m:r>
            <m:t> </m:t>
          </m:r>
          <m:r>
            <m:rPr>
              <m:sty m:val="p"/>
            </m:rPr>
            <m:t>%</m:t>
          </m:r>
        </m:oMath>
      </m:oMathPara>
    </w:p>
    <w:tbl>
      <w:tblPr>
        <w:tblStyle w:val="Table"/>
        <w:tblW w:type="pct" w:w="5000"/>
        <w:tblLayout w:type="fixed"/>
        <w:tblLook w:firstRow="0" w:lastRow="0" w:firstColumn="0" w:lastColumn="0" w:noHBand="0" w:noVBand="0" w:val="0000"/>
      </w:tblPr>
      <w:tblGrid>
        <w:gridCol w:w="7920"/>
      </w:tblGrid>
      <w:tr>
        <w:tc>
          <w:tcPr/>
          <w:bookmarkStart w:id="46" w:name="tbl-2"/>
          <w:p>
            <w:pPr>
              <w:jc w:val="center"/>
            </w:pPr>
            <w:pPr>
              <w:jc w:val="left"/>
              <w:spacing w:before="200"/>
              <w:pStyle w:val="ImageCaption"/>
            </w:pPr>
            <w:r>
              <w:t xml:space="preserve">Tabel 2: Målt og teoretisk hastighed i vandkarret.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cantSplit/>
                <w:tblHeader w:val="on"/>
              </w:trPr>
              <w:tc>
                <w:tcPr/>
                <w:p>
                  <w:pPr>
                    <w:pStyle w:val="Compact"/>
                    <w:keepNext/>
                    <w:jc w:val="center"/>
                    <w:jc w:val="center"/>
                  </w:pPr>
                  <w:r>
                    <w:t xml:space="preserve">Dybde</w:t>
                  </w:r>
                  <w:r>
                    <w:t xml:space="preserve"> </w:t>
                  </w:r>
                  <m:oMath>
                    <m:r>
                      <m:t>d</m:t>
                    </m:r>
                  </m:oMath>
                  <w:r>
                    <w:t xml:space="preserve"> </w:t>
                  </w:r>
                  <w:r>
                    <w:t xml:space="preserve">(m)</w:t>
                  </w:r>
                </w:p>
              </w:tc>
              <w:tc>
                <w:tcPr/>
                <w:p>
                  <w:pPr>
                    <w:pStyle w:val="Compact"/>
                    <w:keepNext/>
                    <w:jc w:val="center"/>
                    <w:jc w:val="center"/>
                  </w:pPr>
                  <w:r>
                    <w:t xml:space="preserve">Gennemsnitstid</w:t>
                  </w:r>
                  <w:r>
                    <w:t xml:space="preserve"> </w:t>
                  </w:r>
                  <m:oMath>
                    <m:acc>
                      <m:accPr>
                        <m:chr m:val="‾"/>
                      </m:accPr>
                      <m:e>
                        <m:r>
                          <m:t>t</m:t>
                        </m:r>
                      </m:e>
                    </m:acc>
                  </m:oMath>
                  <w:r>
                    <w:t xml:space="preserve"> </w:t>
                  </w:r>
                  <w:r>
                    <w:t xml:space="preserve">(s)</w:t>
                  </w:r>
                </w:p>
              </w:tc>
              <w:tc>
                <w:tcPr/>
                <w:p>
                  <w:pPr>
                    <w:pStyle w:val="Compact"/>
                    <w:keepNext/>
                    <w:jc w:val="center"/>
                    <w:jc w:val="center"/>
                  </w:pPr>
                  <m:oMath>
                    <m:sSub>
                      <m:e>
                        <m:r>
                          <m:t>v</m:t>
                        </m:r>
                      </m:e>
                      <m:sub>
                        <m:r>
                          <m:rPr>
                            <m:nor/>
                            <m:sty m:val="p"/>
                          </m:rPr>
                          <m:t>målt</m:t>
                        </m:r>
                      </m:sub>
                    </m:sSub>
                  </m:oMath>
                  <w:r>
                    <w:t xml:space="preserve"> </w:t>
                  </w:r>
                  <w:r>
                    <w:t xml:space="preserve">(m/s)</w:t>
                  </w:r>
                </w:p>
              </w:tc>
              <w:tc>
                <w:tcPr/>
                <w:p>
                  <w:pPr>
                    <w:pStyle w:val="Compact"/>
                    <w:keepNext/>
                    <w:jc w:val="center"/>
                    <w:jc w:val="center"/>
                  </w:pPr>
                  <m:oMath>
                    <m:sSub>
                      <m:e>
                        <m:r>
                          <m:t>v</m:t>
                        </m:r>
                      </m:e>
                      <m:sub>
                        <m:r>
                          <m:rPr>
                            <m:nor/>
                            <m:sty m:val="p"/>
                          </m:rPr>
                          <m:t>teori</m:t>
                        </m:r>
                      </m:sub>
                    </m:sSub>
                  </m:oMath>
                  <w:r>
                    <w:t xml:space="preserve"> </w:t>
                  </w:r>
                  <w:r>
                    <w:t xml:space="preserve">(m/s)</w:t>
                  </w:r>
                </w:p>
              </w:tc>
              <w:tc>
                <w:tcPr/>
                <w:p>
                  <w:pPr>
                    <w:pStyle w:val="Compact"/>
                    <w:keepNext/>
                    <w:jc w:val="center"/>
                    <w:jc w:val="center"/>
                  </w:pPr>
                  <w:r>
                    <w:t xml:space="preserve">Afvigelse (%)</w:t>
                  </w: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pPr>
                </w:p>
              </w:tc>
              <w:tc>
                <w:tcPr/>
                <w:p>
                  <w:pPr>
                    <w:pStyle w:val="Compact"/>
                  </w:pPr>
                </w:p>
              </w:tc>
              <w:tc>
                <w:tcPr/>
                <w:p>
                  <w:pPr>
                    <w:pStyle w:val="Compact"/>
                  </w:pPr>
                </w:p>
              </w:tc>
              <w:tc>
                <w:tcPr/>
                <w:p>
                  <w:pPr>
                    <w:pStyle w:val="Compact"/>
                  </w:pPr>
                </w:p>
              </w:tc>
              <w:tc>
                <w:tcPr/>
                <w:p>
                  <w:pPr>
                    <w:pStyle w:val="Compact"/>
                  </w:pPr>
                </w:p>
              </w:tc>
            </w:tr>
          </w:tbl>
          <w:bookmarkEnd w:id="46"/>
          <w:p/>
        </w:tc>
      </w:tr>
    </w:tbl>
    <w:p>
      <w:pPr>
        <w:numPr>
          <w:ilvl w:val="0"/>
          <w:numId w:val="1007"/>
        </w:numPr>
      </w:pPr>
      <w:r>
        <w:t xml:space="preserve">Tegn en graf med dybden</w:t>
      </w:r>
      <w:r>
        <w:t xml:space="preserve"> </w:t>
      </w:r>
      <m:oMath>
        <m:r>
          <m:t>d</m:t>
        </m:r>
      </m:oMath>
      <w:r>
        <w:t xml:space="preserve"> </w:t>
      </w:r>
      <w:r>
        <w:t xml:space="preserve">(m) på x-aksen og hastigheden</w:t>
      </w:r>
      <w:r>
        <w:t xml:space="preserve"> </w:t>
      </w:r>
      <m:oMath>
        <m:r>
          <m:t>v</m:t>
        </m:r>
      </m:oMath>
      <w:r>
        <w:t xml:space="preserve"> </w:t>
      </w:r>
      <w:r>
        <w:t xml:space="preserve">(m/s) på y-aksen. Sæt jeres tre målte hastigheder ind som punkter, og tegn den teoretiske sammenhæng</w:t>
      </w:r>
      <w:r>
        <w:t xml:space="preserve"> </w:t>
      </w:r>
      <m:oMath>
        <m:r>
          <m:t>v</m:t>
        </m:r>
        <m:r>
          <m:rPr>
            <m:sty m:val="p"/>
          </m:rPr>
          <m:t>=</m:t>
        </m:r>
        <m:rad>
          <m:radPr>
            <m:degHide m:val="on"/>
          </m:radPr>
          <m:deg/>
          <m:e>
            <m:r>
              <m:t>g</m:t>
            </m:r>
            <m:r>
              <m:rPr>
                <m:sty m:val="p"/>
              </m:rPr>
              <m:t>⋅</m:t>
            </m:r>
            <m:r>
              <m:t>d</m:t>
            </m:r>
          </m:e>
        </m:rad>
      </m:oMath>
      <w:r>
        <w:t xml:space="preserve"> </w:t>
      </w:r>
      <w:r>
        <w:t xml:space="preserve">som en kurve for dybder fra 0 til 0,12 m.</w:t>
      </w:r>
    </w:p>
    <w:p>
      <w:pPr>
        <w:numPr>
          <w:ilvl w:val="0"/>
          <w:numId w:val="1007"/>
        </w:numPr>
      </w:pPr>
      <w:r>
        <w:t xml:space="preserve">Brug formlen på rigtige havdybder. Regn hastigheden om til km/t ved at gange med 3,6. En tsunami har typisk en periode</w:t>
      </w:r>
      <w:r>
        <w:t xml:space="preserve"> </w:t>
      </w:r>
      <m:oMath>
        <m:r>
          <m:t>T</m:t>
        </m:r>
      </m:oMath>
      <w:r>
        <w:t xml:space="preserve"> </w:t>
      </w:r>
      <w:r>
        <w:t xml:space="preserve">(tiden mellem to bølgetoppe) på omkring 18 minutter, og perioden ændrer sig ikke undervejs. Beregn bølgelængden:</w:t>
      </w:r>
    </w:p>
    <w:p>
      <w:pPr>
        <w:pStyle w:val="FirstParagraph"/>
      </w:pPr>
      <m:oMathPara>
        <m:oMathParaPr>
          <m:jc m:val="center"/>
        </m:oMathParaPr>
        <m:oMath>
          <m:r>
            <m:t>λ</m:t>
          </m:r>
          <m:r>
            <m:rPr>
              <m:sty m:val="p"/>
            </m:rPr>
            <m:t>=</m:t>
          </m:r>
          <m:r>
            <m:t>v</m:t>
          </m:r>
          <m:r>
            <m:rPr>
              <m:sty m:val="p"/>
            </m:rPr>
            <m:t>⋅</m:t>
          </m:r>
          <m:r>
            <m:t>T</m:t>
          </m:r>
        </m:oMath>
      </m:oMathPara>
    </w:p>
    <w:tbl>
      <w:tblPr>
        <w:tblStyle w:val="Table"/>
        <w:tblW w:type="pct" w:w="5000"/>
        <w:tblLayout w:type="fixed"/>
        <w:tblLook w:firstRow="0" w:lastRow="0" w:firstColumn="0" w:lastColumn="0" w:noHBand="0" w:noVBand="0" w:val="0000"/>
      </w:tblPr>
      <w:tblGrid>
        <w:gridCol w:w="7920"/>
      </w:tblGrid>
      <w:tr>
        <w:tc>
          <w:tcPr/>
          <w:bookmarkStart w:id="47" w:name="tbl-3"/>
          <w:p>
            <w:pPr>
              <w:jc w:val="center"/>
            </w:pPr>
            <w:pPr>
              <w:jc w:val="left"/>
              <w:spacing w:before="200"/>
              <w:pStyle w:val="ImageCaption"/>
            </w:pPr>
            <w:r>
              <w:t xml:space="preserve">Tabel 3: Tsunamiens teoretiske hastighed og bølgelængde på oceanet og ved kysten.</w:t>
            </w:r>
          </w:p>
          <w:tbl>
            <w:tblPr>
              <w:tblStyle w:val="Table"/>
              <w:tblW w:type="pct" w:w="5000"/>
              <w:tblLayout w:type="fixed"/>
              <w:tblLook w:firstRow="1" w:lastRow="0" w:firstColumn="0" w:lastColumn="0" w:noHBand="0" w:noVBand="0" w:val="0020"/>
            </w:tblPr>
            <w:tblGrid>
              <w:gridCol w:w="1980"/>
              <w:gridCol w:w="1980"/>
              <w:gridCol w:w="1980"/>
              <w:gridCol w:w="1980"/>
            </w:tblGrid>
            <w:tr>
              <w:trPr>
                <w:cantSplit/>
                <w:tblHeader w:val="on"/>
              </w:trPr>
              <w:tc>
                <w:tcPr/>
                <w:p>
                  <w:pPr>
                    <w:pStyle w:val="Compact"/>
                    <w:keepNext/>
                    <w:jc w:val="center"/>
                    <w:jc w:val="center"/>
                  </w:pPr>
                  <w:r>
                    <w:t xml:space="preserve">Dybde</w:t>
                  </w:r>
                  <w:r>
                    <w:t xml:space="preserve"> </w:t>
                  </w:r>
                  <m:oMath>
                    <m:r>
                      <m:t>d</m:t>
                    </m:r>
                  </m:oMath>
                  <w:r>
                    <w:t xml:space="preserve"> </w:t>
                  </w:r>
                  <w:r>
                    <w:t xml:space="preserve">(m)</w:t>
                  </w:r>
                </w:p>
              </w:tc>
              <w:tc>
                <w:tcPr/>
                <w:p>
                  <w:pPr>
                    <w:pStyle w:val="Compact"/>
                    <w:keepNext/>
                    <w:jc w:val="center"/>
                    <w:jc w:val="center"/>
                  </w:pPr>
                  <m:oMath>
                    <m:sSub>
                      <m:e>
                        <m:r>
                          <m:t>v</m:t>
                        </m:r>
                      </m:e>
                      <m:sub>
                        <m:r>
                          <m:rPr>
                            <m:nor/>
                            <m:sty m:val="p"/>
                          </m:rPr>
                          <m:t>teori</m:t>
                        </m:r>
                      </m:sub>
                    </m:sSub>
                  </m:oMath>
                  <w:r>
                    <w:t xml:space="preserve"> </w:t>
                  </w:r>
                  <w:r>
                    <w:t xml:space="preserve">(m/s)</w:t>
                  </w:r>
                </w:p>
              </w:tc>
              <w:tc>
                <w:tcPr/>
                <w:p>
                  <w:pPr>
                    <w:pStyle w:val="Compact"/>
                    <w:keepNext/>
                    <w:jc w:val="center"/>
                    <w:jc w:val="center"/>
                  </w:pPr>
                  <m:oMath>
                    <m:sSub>
                      <m:e>
                        <m:r>
                          <m:t>v</m:t>
                        </m:r>
                      </m:e>
                      <m:sub>
                        <m:r>
                          <m:rPr>
                            <m:nor/>
                            <m:sty m:val="p"/>
                          </m:rPr>
                          <m:t>teori</m:t>
                        </m:r>
                      </m:sub>
                    </m:sSub>
                  </m:oMath>
                  <w:r>
                    <w:t xml:space="preserve"> </w:t>
                  </w:r>
                  <w:r>
                    <w:t xml:space="preserve">(km/t)</w:t>
                  </w:r>
                </w:p>
              </w:tc>
              <w:tc>
                <w:tcPr/>
                <w:p>
                  <w:pPr>
                    <w:pStyle w:val="Compact"/>
                    <w:keepNext/>
                    <w:jc w:val="center"/>
                    <w:jc w:val="center"/>
                  </w:pPr>
                  <w:r>
                    <w:t xml:space="preserve">Bølgelængde</w:t>
                  </w:r>
                  <w:r>
                    <w:t xml:space="preserve"> </w:t>
                  </w:r>
                  <m:oMath>
                    <m:r>
                      <m:t>λ</m:t>
                    </m:r>
                  </m:oMath>
                  <w:r>
                    <w:t xml:space="preserve"> </w:t>
                  </w:r>
                  <w:r>
                    <w:t xml:space="preserve">(km) ved</w:t>
                  </w:r>
                  <w:r>
                    <w:t xml:space="preserve"> </w:t>
                  </w:r>
                  <m:oMath>
                    <m:r>
                      <m:t>T</m:t>
                    </m:r>
                  </m:oMath>
                  <w:r>
                    <w:t xml:space="preserve"> </w:t>
                  </w:r>
                  <w:r>
                    <w:t xml:space="preserve">= 18 min</w:t>
                  </w:r>
                </w:p>
              </w:tc>
            </w:tr>
            <w:tr>
              <w:trPr>
                <w:cantSplit/>
              </w:trPr>
              <w:tc>
                <w:tcPr/>
                <w:p>
                  <w:pPr>
                    <w:pStyle w:val="Compact"/>
                    <w:keepNext/>
                    <w:jc w:val="center"/>
                    <w:jc w:val="center"/>
                  </w:pPr>
                  <w:r>
                    <w:t xml:space="preserve">6000</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2000</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200</w:t>
                  </w: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t xml:space="preserve">10</w:t>
                  </w:r>
                </w:p>
              </w:tc>
              <w:tc>
                <w:tcPr/>
                <w:p>
                  <w:pPr>
                    <w:pStyle w:val="Compact"/>
                  </w:pPr>
                </w:p>
              </w:tc>
              <w:tc>
                <w:tcPr/>
                <w:p>
                  <w:pPr>
                    <w:pStyle w:val="Compact"/>
                  </w:pPr>
                </w:p>
              </w:tc>
              <w:tc>
                <w:tcPr/>
                <w:p>
                  <w:pPr>
                    <w:pStyle w:val="Compact"/>
                  </w:pPr>
                </w:p>
              </w:tc>
            </w:tr>
          </w:tbl>
          <w:bookmarkEnd w:id="47"/>
          <w:p/>
        </w:tc>
      </w:tr>
    </w:tbl>
    <w:bookmarkEnd w:id="48"/>
    <w:bookmarkStart w:id="49" w:name="journalspørgsmål"/>
    <w:p>
      <w:pPr>
        <w:pStyle w:val="Heading2"/>
      </w:pPr>
      <w:r>
        <w:t xml:space="preserve">Journalspørgsmål</w:t>
      </w:r>
    </w:p>
    <w:p>
      <w:pPr>
        <w:pStyle w:val="Compact"/>
        <w:numPr>
          <w:ilvl w:val="0"/>
          <w:numId w:val="1008"/>
        </w:numPr>
      </w:pPr>
      <w:r>
        <w:t xml:space="preserve">Forklar, hvordan en tsunami opstår, og hvordan den adskiller sig fra en almindelig vindskabt bølge.</w:t>
      </w:r>
    </w:p>
    <w:p>
      <w:pPr>
        <w:pStyle w:val="Compact"/>
        <w:numPr>
          <w:ilvl w:val="0"/>
          <w:numId w:val="1008"/>
        </w:numPr>
      </w:pPr>
      <w:r>
        <w:t xml:space="preserve">Sammenlign jeres målte hastigheder med de teoretiske. Giv et bud på, hvad forskellene kan skyldes. Tænk fx på reaktionstiden med stopuret, hvor nøjagtigt I kunne måle dybden, om karret stod helt vandret, og om bølgen stadig er meget længere, end vandet er dybt, ved 10 cm.</w:t>
      </w:r>
    </w:p>
    <w:p>
      <w:pPr>
        <w:pStyle w:val="Compact"/>
        <w:numPr>
          <w:ilvl w:val="0"/>
          <w:numId w:val="1008"/>
        </w:numPr>
      </w:pPr>
      <w:r>
        <w:t xml:space="preserve">Ved hvilken dybde var afvigelsen størst i procent? Forklar, hvorfor en fejl på 1 mm betyder mere ved den mindste dybde end ved den største.</w:t>
      </w:r>
    </w:p>
    <w:p>
      <w:pPr>
        <w:pStyle w:val="Compact"/>
        <w:numPr>
          <w:ilvl w:val="0"/>
          <w:numId w:val="1008"/>
        </w:numPr>
      </w:pPr>
      <w:r>
        <w:t xml:space="preserve">Jeres graf er ikke en ret linje. Beskriv dens form, og forklar ud fra formlen, hvorfor fire gange så stor en dybde kun giver dobbelt så stor en hastighed.</w:t>
      </w:r>
    </w:p>
    <w:p>
      <w:pPr>
        <w:pStyle w:val="Compact"/>
        <w:numPr>
          <w:ilvl w:val="0"/>
          <w:numId w:val="1008"/>
        </w:numPr>
      </w:pPr>
      <w:r>
        <w:t xml:space="preserve">Forklar ud fra</w:t>
      </w:r>
      <w:r>
        <w:t xml:space="preserve"> </w:t>
      </w:r>
      <w:hyperlink w:anchor="tbl-3">
        <w:r>
          <w:rPr>
            <w:rStyle w:val="Hyperlink"/>
          </w:rPr>
          <w:t xml:space="preserve">Tabel 3</w:t>
        </w:r>
      </w:hyperlink>
      <w:r>
        <w:t xml:space="preserve">, hvad der sker med bølgens hastighed og bølgelængde, når den bevæger sig ind mod land og vanddybden bliver meget lille. Hvorfor bliver bølgen højere? Sammenlign jeres svar med tsunamiafsnittet på Naturgeografiportalen.</w:t>
      </w:r>
    </w:p>
    <w:p>
      <w:pPr>
        <w:pStyle w:val="Compact"/>
        <w:numPr>
          <w:ilvl w:val="0"/>
          <w:numId w:val="1008"/>
        </w:numPr>
      </w:pPr>
      <w:r>
        <w:t xml:space="preserve">Ved jordskælvet ud for Sumatra i december 2004 ramte tsunamien Sri Lanka ca. 1600 km væk omkring to timer efter skælvet. Det Indiske Oceans gennemsnitsdybde er ca. 4000 m. Passer det med formlen? Hvad kan viden om tsunamiers hastighed bruges til?</w:t>
      </w:r>
    </w:p>
    <w:p>
      <w:pPr>
        <w:pStyle w:val="Compact"/>
        <w:numPr>
          <w:ilvl w:val="0"/>
          <w:numId w:val="1008"/>
        </w:numPr>
      </w:pPr>
      <w:r>
        <w:t xml:space="preserve">Bølgen i karret er få centimeter høj og under en meter lang, mens en tsunami er hundreder af kilometer lang. Diskutér, hvor godt vandkarret er som model af en tsunami. Hvad har de to bølger til fælles, og hvad er forskelligt?</w:t>
      </w:r>
    </w:p>
    <w:bookmarkEnd w:id="49"/>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8" Target="media/rId28.png" /><Relationship Type="http://schemas.openxmlformats.org/officeDocument/2006/relationships/image" Id="rId40" Target="media/rId40.png" /><Relationship Type="http://schemas.openxmlformats.org/officeDocument/2006/relationships/image" Id="rId36" Target="media/rId36.svg" /><Relationship Type="http://schemas.openxmlformats.org/officeDocument/2006/relationships/image" Id="rId19" Target="media/rId19.jpg" /><Relationship Type="http://schemas.openxmlformats.org/officeDocument/2006/relationships/image" Id="rId24" Target="media/rId24.svg" /><Relationship Type="http://schemas.openxmlformats.org/officeDocument/2006/relationships/image" Id="rId32" Target="media/rId32.jp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Tsunamibølgers hastighed</dc:title>
  <dc:creator/>
  <dc:language>da</dc:language>
  <cp:keywords/>
  <dcterms:created xsi:type="dcterms:W3CDTF">2026-09-30T14:22:20Z</dcterms:created>
  <dcterms:modified xsi:type="dcterms:W3CDTF">2026-09-30T14:22:20Z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Hvor hurtigt krydser en tsunami havet — og hvorfor bliver den farlig ved kysten?</vt:lpwstr>
  </property>
  <property fmtid="{D5CDD505-2E9C-101B-9397-08002B2CF9AE}" pid="11" name="toc-title">
    <vt:lpwstr>Indholdsfortegnelse</vt:lpwstr>
  </property>
</Properties>
</file>