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29.png" ContentType="image/png"/>
  <Override PartName="/word/media/rId33.png" ContentType="image/png"/>
  <Override PartName="/word/media/rId20.svg" ContentType="image/svg+xml"/>
  <Override PartName="/word/media/rId25.png" ContentType="image/png"/>
  <Override PartName="/word/media/rId23.png" ContentType="image/png"/>
  <Override PartName="/word/media/ff4355ab3d7b3fb047ac1bb9b81f09919282c810.png" ContentType="image/png"/>
  <Override PartName="/word/media/22118e1eede36edf4136c10d3e20d9ff95fafa9e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a="http://schemas.openxmlformats.org/drawingml/2006/main" xmlns:m="http://schemas.openxmlformats.org/officeDocument/2006/math" xmlns:ns5="http://schemas.microsoft.com/office/drawing/2010/main" xmlns:ns6="http://schemas.microsoft.com/office/drawing/2016/SVG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>
  <w:body>
    <w:p>
      <w:pPr>
        <w:pStyle w:val="Title"/>
      </w:pPr>
      <w:r>
        <w:t xml:space="preserve">Reserve og ressource</w:t>
      </w:r>
    </w:p>
    <w:p>
      <w:pPr>
        <w:pStyle w:val="Subtitle"/>
      </w:pPr>
      <w:r>
        <w:t xml:space="preserve">Simuleringsøvelse om råstoffer</w:t>
      </w:r>
    </w:p>
    <w:bookmarkStart w:id="19" w:name="om-øvelsen"/>
    <w:p>
      <w:pPr>
        <w:pStyle w:val="Heading2"/>
      </w:pPr>
      <w:r>
        <w:t xml:space="preserve">Om øvelsen</w:t>
      </w:r>
    </w:p>
    <w:p>
      <w:pPr>
        <w:pStyle w:val="FirstParagraph"/>
      </w:pPr>
      <w:r>
        <w:t xml:space="preserve">Den grønne omstilling kræver store mængder metal — kobber til ledninger, vindmøller og elbiler er et af de vigtigste. Løber vi tør? I denne øvelse undersøger I spørgsmålet med en simulering af kobber. I skal finde ud af, hvad der bestemmer, hvor stor reserven er, hvad R/P-forholdet kan og ikke kan fortælle, og hvorfor verden indtil nu ikke er løbet tør for et eneste råstof.</w:t>
      </w:r>
    </w:p>
    <w:bookmarkEnd w:id="19"/>
    <w:bookmarkStart w:id="36" w:name="baggrund"/>
    <w:p>
      <w:pPr>
        <w:pStyle w:val="Heading2"/>
      </w:pPr>
      <w:r>
        <w:t xml:space="preserve">Baggrund</w:t>
      </w:r>
    </w:p>
    <w:p>
      <w:pPr>
        <w:pStyle w:val="FirstParagraph"/>
      </w:pPr>
      <w:r>
        <w:t xml:space="preserve">En</w:t>
      </w:r>
      <w:r>
        <w:t xml:space="preserve"> </w:t>
      </w:r>
      <w:r>
        <w:rPr>
          <w:b/>
          <w:bCs/>
        </w:rPr>
        <w:t xml:space="preserve">ressource</w:t>
      </w:r>
      <w:r>
        <w:t xml:space="preserve"> </w:t>
      </w:r>
      <w:r>
        <w:t xml:space="preserve">er al den forekomst af et råstof, der findes — både den, vi kender, og den, der endnu ikke er opdaget, og både den, der kan betale sig at udvinde, og den, der ikke kan. En</w:t>
      </w:r>
      <w:r>
        <w:t xml:space="preserve"> </w:t>
      </w:r>
      <w:r>
        <w:rPr>
          <w:b/>
          <w:bCs/>
        </w:rPr>
        <w:t xml:space="preserve">reserve</w:t>
      </w:r>
      <w:r>
        <w:t xml:space="preserve"> </w:t>
      </w:r>
      <w:r>
        <w:t xml:space="preserve">er den del af ressourcen, der er</w:t>
      </w:r>
      <w:r>
        <w:t xml:space="preserve"> </w:t>
      </w:r>
      <w:r>
        <w:rPr>
          <w:i/>
          <w:iCs/>
        </w:rPr>
        <w:t xml:space="preserve">både</w:t>
      </w:r>
      <w:r>
        <w:t xml:space="preserve"> </w:t>
      </w:r>
      <w:r>
        <w:t xml:space="preserve">kendt</w:t>
      </w:r>
      <w:r>
        <w:t xml:space="preserve"> </w:t>
      </w:r>
      <w:r>
        <w:rPr>
          <w:i/>
          <w:iCs/>
        </w:rPr>
        <w:t xml:space="preserve">og</w:t>
      </w:r>
      <w:r>
        <w:t xml:space="preserve"> </w:t>
      </w:r>
      <w:r>
        <w:t xml:space="preserve">økonomisk rentabel at udvinde ved den nuværende pris og teknologi (</w:t>
      </w:r>
      <w:hyperlink w:anchor="fig-kassen">
        <w:r>
          <w:rPr>
            <w:rStyle w:val="Hyperlink"/>
          </w:rPr>
          <w:t xml:space="preserve">Figur 1</w:t>
        </w:r>
      </w:hyperlink>
      <w:r>
        <w:t xml:space="preserve">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4" w:name="fig-kassen"/>
          <w:p>
            <w:pPr>
              <w:pStyle w:val="Compact"/>
              <w:jc w:val="center"/>
            </w:pPr>
            <w:r>
              <w:drawing>
                <wp:inline>
                  <wp:extent cx="5608320" cy="2628900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figurer/kassen.sv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ns5:useLocalDpi val="0"/>
                              </a:ext>
                              <a:ext uri="{96DAC541-7B7A-43D3-8B79-37D633B846F1}">
                                <ns6:svgBlip r:embed="rId2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8320" cy="2628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 1: Reserve- og ressourcekassen. Efterforskning flytter den lodrette streg mod højre; en højere pris eller bedre teknologi flytter den vandrette streg nedad. Begge dele gør reserven større.</w:t>
            </w:r>
          </w:p>
          <w:bookmarkEnd w:id="24"/>
        </w:tc>
      </w:tr>
    </w:tbl>
    <w:p>
      <w:pPr>
        <w:pStyle w:val="BodyText"/>
      </w:pPr>
      <w:r>
        <w:t xml:space="preserve">Reserve-/produktionsforholdet (R/P-forholdet) angiver, hvor mange år reserven vil række, hvis produktionen fortsætter som nu: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R/P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nor/>
                  <m:sty m:val="p"/>
                </m:rPr>
                <m:t>reserve</m:t>
              </m:r>
            </m:num>
            <m:den>
              <m:r>
                <m:rPr>
                  <m:nor/>
                  <m:sty m:val="p"/>
                </m:rPr>
                <m:t>årlig produktion</m:t>
              </m:r>
            </m:den>
          </m:f>
        </m:oMath>
      </m:oMathPara>
    </w:p>
    <w:p>
      <w:pPr>
        <w:pStyle w:val="FirstParagraph"/>
      </w:pPr>
      <w:r>
        <w:t xml:space="preserve">I simuleringen er tallene afrundede tal for kobber: en reserve på ca. 1.000 mio. t, en kendt ressource på 2.100 mio. t og ca. 3.500 mio. t, der endnu ikke er opdaget. Forbruget er ca. 32 mio. t om året, og ca. 30 % dækkes af genanvendt kobber — resten skal brydes i miner. Modellen lader en højere pris dæmpe forbruget en smule og give mere efterforskning.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8" w:name="fig-simulering"/>
          <w:p>
            <w:pPr>
              <w:pStyle w:val="Compact"/>
              <w:jc w:val="center"/>
            </w:pPr>
            <w:r>
              <w:drawing>
                <wp:inline>
                  <wp:extent cx="6096000" cy="2557083"/>
                  <wp:effectExtent b="0" l="0" r="0" t="0"/>
                  <wp:docPr descr="" title="" id="26" name="Picture"/>
                  <a:graphic>
                    <a:graphicData uri="http://schemas.openxmlformats.org/drawingml/2006/picture">
                      <pic:pic>
                        <pic:nvPicPr>
                          <pic:cNvPr descr="figurer/simulering.png" id="2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0" cy="25570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 2: Simuleringen. Til venstre kassen fra</w:t>
            </w:r>
            <w:r>
              <w:t xml:space="preserve"> </w:t>
            </w:r>
            <w:hyperlink w:anchor="fig-kassen">
              <w:r>
                <w:rPr>
                  <w:rStyle w:val="Hyperlink"/>
                </w:rPr>
                <w:t xml:space="preserve">Figur 1</w:t>
              </w:r>
            </w:hyperlink>
            <w:r>
              <w:t xml:space="preserve"> </w:t>
            </w:r>
            <w:r>
              <w:t xml:space="preserve">med det, der allerede er udvundet, skraveret; til højre reserven og R/P-forholdet over tid. Instrumenter og skydere står i spalten til højre.</w:t>
            </w:r>
          </w:p>
          <w:bookmarkEnd w:id="2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  <w:keepNext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0" name="Picture"/>
                  <a:graphic>
                    <a:graphicData uri="http://schemas.openxmlformats.org/drawingml/2006/picture">
                      <pic:pic>
                        <pic:nvPicPr>
                          <pic:cNvPr descr="/Applications/quarto/share/formats/docx/note.png" id="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Materialer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Computer med internetadgang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Simuleringen</w:t>
            </w:r>
            <w:r>
              <w:t xml:space="preserve"> </w:t>
            </w:r>
            <w:r>
              <w:rPr>
                <w:i/>
                <w:iCs/>
              </w:rPr>
              <w:t xml:space="preserve">Reserve og ressource</w:t>
            </w:r>
            <w:r>
              <w:t xml:space="preserve">:</w:t>
            </w:r>
            <w:r>
              <w:t xml:space="preserve"> </w:t>
            </w:r>
            <w:hyperlink r:id="rId32">
              <w:r>
                <w:rPr>
                  <w:rStyle w:val="Hyperlink"/>
                </w:rPr>
                <w:t xml:space="preserve">https://smbi.dk/geografi/raastoffer.html</w:t>
              </w:r>
            </w:hyperlink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Regneark eller millimeterpapir til grafen</w:t>
            </w:r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  <w:keepNext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4" name="Picture"/>
                  <a:graphic>
                    <a:graphicData uri="http://schemas.openxmlformats.org/drawingml/2006/picture">
                      <pic:pic>
                        <pic:nvPicPr>
                          <pic:cNvPr descr="/Applications/quarto/share/formats/docx/tip.png" id="3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Tip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Tryk</w:t>
            </w:r>
            <w:r>
              <w:t xml:space="preserve"> </w:t>
            </w:r>
            <w:r>
              <w:rPr>
                <w:b/>
                <w:bCs/>
              </w:rPr>
              <w:t xml:space="preserve">↺ Nulstil</w:t>
            </w:r>
            <w:r>
              <w:t xml:space="preserve"> </w:t>
            </w:r>
            <w:r>
              <w:t xml:space="preserve">før hver ny del, så I starter i år 0. Nulstil sætter tiden tilbage, men ikke skyderne — dem stiller I selv. Udgangsværdierne er: pris 9.000 USD/t, teknologi 0 %, efterforskning 0,8 %/år, vækst 2,5 %/år og genanvendelse 30 %. Knappen</w:t>
            </w:r>
            <w:r>
              <w:t xml:space="preserve"> </w:t>
            </w:r>
            <w:r>
              <w:rPr>
                <w:b/>
                <w:bCs/>
              </w:rPr>
              <w:t xml:space="preserve">+1 år</w:t>
            </w:r>
            <w:r>
              <w:t xml:space="preserve"> </w:t>
            </w:r>
            <w:r>
              <w:t xml:space="preserve">går ét år frem ad gangen.</w:t>
            </w:r>
          </w:p>
          <w:p/>
        </w:tc>
      </w:tr>
    </w:tbl>
    <w:bookmarkEnd w:id="36"/>
    <w:bookmarkStart w:id="37" w:name="hypotese"/>
    <w:p>
      <w:pPr>
        <w:pStyle w:val="Heading2"/>
      </w:pPr>
      <w:r>
        <w:t xml:space="preserve">Hypotese</w:t>
      </w:r>
    </w:p>
    <w:p>
      <w:pPr>
        <w:pStyle w:val="FirstParagraph"/>
      </w:pPr>
      <w:r>
        <w:t xml:space="preserve">Før I går i gang: Hvor mange år tror I, verdens kobberreserve rækker? Og tror I, at reserven bliver mindre, jo mere vi bruger? Begrund kort.</w:t>
      </w:r>
    </w:p>
    <w:bookmarkEnd w:id="37"/>
    <w:bookmarkStart w:id="38" w:name="fremgangsmåde"/>
    <w:p>
      <w:pPr>
        <w:pStyle w:val="Heading2"/>
      </w:pPr>
      <w:r>
        <w:t xml:space="preserve">Fremgangsmåde</w:t>
      </w:r>
    </w:p>
    <w:p>
      <w:pPr>
        <w:pStyle w:val="FirstParagraph"/>
      </w:pPr>
      <w:r>
        <w:rPr>
          <w:b/>
          <w:bCs/>
        </w:rPr>
        <w:t xml:space="preserve">Del 1 — Prisen.</w:t>
      </w:r>
      <w:r>
        <w:t xml:space="preserve"> </w:t>
      </w:r>
      <w:r>
        <w:t xml:space="preserve">Stil prisen på hver af værdierne i</w:t>
      </w:r>
      <w:r>
        <w:t xml:space="preserve"> </w:t>
      </w:r>
      <w:hyperlink w:anchor="tbl-1">
        <w:r>
          <w:rPr>
            <w:rStyle w:val="Hyperlink"/>
          </w:rPr>
          <w:t xml:space="preserve">Tabel 1</w:t>
        </w:r>
      </w:hyperlink>
      <w:r>
        <w:t xml:space="preserve"> </w:t>
      </w:r>
      <w:r>
        <w:t xml:space="preserve">(de andre skydere står på udgangsværdierne). Aflæs reserven, udvindingen og R/P-forholdet, og skriv dem i skemaet. Læg mærke til, hvad der sker med den vandrette streg i kassen.</w:t>
      </w:r>
    </w:p>
    <w:p>
      <w:pPr>
        <w:pStyle w:val="BodyText"/>
      </w:pPr>
      <w:r>
        <w:rPr>
          <w:b/>
          <w:bCs/>
        </w:rPr>
        <w:t xml:space="preserve">Del 2 — Teknologien.</w:t>
      </w:r>
      <w:r>
        <w:t xml:space="preserve"> </w:t>
      </w:r>
      <w:r>
        <w:t xml:space="preserve">Sæt prisen tilbage på 9.000 USD/t. Skru på</w:t>
      </w:r>
      <w:r>
        <w:t xml:space="preserve"> </w:t>
      </w:r>
      <w:r>
        <w:rPr>
          <w:i/>
          <w:iCs/>
        </w:rPr>
        <w:t xml:space="preserve">Teknologi</w:t>
      </w:r>
      <w:r>
        <w:t xml:space="preserve">, der gør udvindingen billigere, og aflæs reserven ved værdierne i</w:t>
      </w:r>
      <w:r>
        <w:t xml:space="preserve"> </w:t>
      </w:r>
      <w:hyperlink w:anchor="tbl-2">
        <w:r>
          <w:rPr>
            <w:rStyle w:val="Hyperlink"/>
          </w:rPr>
          <w:t xml:space="preserve">Tabel 2</w:t>
        </w:r>
      </w:hyperlink>
      <w:r>
        <w:t xml:space="preserve">.</w:t>
      </w:r>
    </w:p>
    <w:p>
      <w:pPr>
        <w:pStyle w:val="BodyText"/>
      </w:pPr>
      <w:r>
        <w:rPr>
          <w:b/>
          <w:bCs/>
        </w:rPr>
        <w:t xml:space="preserve">Del 3 — Genanvendelsen.</w:t>
      </w:r>
      <w:r>
        <w:t xml:space="preserve"> </w:t>
      </w:r>
      <w:r>
        <w:t xml:space="preserve">Sæt teknologien tilbage på 0 %. Skru på</w:t>
      </w:r>
      <w:r>
        <w:t xml:space="preserve"> </w:t>
      </w:r>
      <w:r>
        <w:rPr>
          <w:i/>
          <w:iCs/>
        </w:rPr>
        <w:t xml:space="preserve">Genanvendelse</w:t>
      </w:r>
      <w:r>
        <w:t xml:space="preserve">, og aflæs udvindingen og R/P-forholdet ved værdierne i</w:t>
      </w:r>
      <w:r>
        <w:t xml:space="preserve"> </w:t>
      </w:r>
      <w:hyperlink w:anchor="tbl-3">
        <w:r>
          <w:rPr>
            <w:rStyle w:val="Hyperlink"/>
          </w:rPr>
          <w:t xml:space="preserve">Tabel 3</w:t>
        </w:r>
      </w:hyperlink>
      <w:r>
        <w:t xml:space="preserve">.</w:t>
      </w:r>
    </w:p>
    <w:p>
      <w:pPr>
        <w:pStyle w:val="BodyText"/>
      </w:pPr>
      <w:r>
        <w:rPr>
          <w:b/>
          <w:bCs/>
        </w:rPr>
        <w:t xml:space="preserve">Del 4 — Tiden går.</w:t>
      </w:r>
      <w:r>
        <w:t xml:space="preserve"> </w:t>
      </w:r>
      <w:r>
        <w:t xml:space="preserve">Nu skal I se, om R/P-forholdet holder som prognose. Kør de fire scenarier i</w:t>
      </w:r>
      <w:r>
        <w:t xml:space="preserve"> </w:t>
      </w:r>
      <w:hyperlink w:anchor="tbl-4">
        <w:r>
          <w:rPr>
            <w:rStyle w:val="Hyperlink"/>
          </w:rPr>
          <w:t xml:space="preserve">Tabel 4</w:t>
        </w:r>
      </w:hyperlink>
      <w:r>
        <w:t xml:space="preserve">. Indstil skyderne, tryk</w:t>
      </w:r>
      <w:r>
        <w:t xml:space="preserve"> </w:t>
      </w:r>
      <w:r>
        <w:rPr>
          <w:b/>
          <w:bCs/>
        </w:rPr>
        <w:t xml:space="preserve">↺ Nulstil</w:t>
      </w:r>
      <w:r>
        <w:t xml:space="preserve">, og notér R/P-forholdet i år 0. Gå derefter frem med</w:t>
      </w:r>
      <w:r>
        <w:t xml:space="preserve"> </w:t>
      </w:r>
      <w:r>
        <w:rPr>
          <w:b/>
          <w:bCs/>
        </w:rPr>
        <w:t xml:space="preserve">+1 år</w:t>
      </w:r>
      <w:r>
        <w:t xml:space="preserve"> </w:t>
      </w:r>
      <w:r>
        <w:t xml:space="preserve">(eller</w:t>
      </w:r>
      <w:r>
        <w:t xml:space="preserve"> </w:t>
      </w:r>
      <w:r>
        <w:rPr>
          <w:b/>
          <w:bCs/>
        </w:rPr>
        <w:t xml:space="preserve">▶ Kør tiden</w:t>
      </w:r>
      <w:r>
        <w:t xml:space="preserve"> </w:t>
      </w:r>
      <w:r>
        <w:t xml:space="preserve">og pause), og notér reserven i år 20 og det år, hvor instrumentet</w:t>
      </w:r>
      <w:r>
        <w:t xml:space="preserve"> </w:t>
      </w:r>
      <w:r>
        <w:rPr>
          <w:i/>
          <w:iCs/>
        </w:rPr>
        <w:t xml:space="preserve">Udvinding</w:t>
      </w:r>
      <w:r>
        <w:t xml:space="preserve"> </w:t>
      </w:r>
      <w:r>
        <w:t xml:space="preserve">første gang melder om mangel.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A:</w:t>
      </w:r>
      <w:r>
        <w:t xml:space="preserve"> </w:t>
      </w:r>
      <w:r>
        <w:t xml:space="preserve">vækst 0 %/år, efterforskning 0 %/år, fast pris 9.000 USD/t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B:</w:t>
      </w:r>
      <w:r>
        <w:t xml:space="preserve"> </w:t>
      </w:r>
      <w:r>
        <w:t xml:space="preserve">vækst 2,5 %/år, efterforskning 0 %/år, fast pris 9.000 USD/t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C:</w:t>
      </w:r>
      <w:r>
        <w:t xml:space="preserve"> </w:t>
      </w:r>
      <w:r>
        <w:t xml:space="preserve">vækst 2,5 %/år, efterforskning 0,8 %/år, fast pris 9.000 USD/t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D:</w:t>
      </w:r>
      <w:r>
        <w:t xml:space="preserve"> </w:t>
      </w:r>
      <w:r>
        <w:t xml:space="preserve">som C, men med knappen</w:t>
      </w:r>
      <w:r>
        <w:t xml:space="preserve"> </w:t>
      </w:r>
      <w:r>
        <w:rPr>
          <w:b/>
          <w:bCs/>
        </w:rPr>
        <w:t xml:space="preserve">Markedet styrer</w:t>
      </w:r>
      <w:r>
        <w:t xml:space="preserve"> </w:t>
      </w:r>
      <w:r>
        <w:t xml:space="preserve">slået til, så prisen stiger, når reserven bliver knap. Notér også prisen i år 20 og år 50.</w:t>
      </w:r>
    </w:p>
    <w:p>
      <w:pPr>
        <w:pStyle w:val="FirstParagraph"/>
      </w:pPr>
      <w:r>
        <w:rPr>
          <w:b/>
          <w:bCs/>
        </w:rPr>
        <w:t xml:space="preserve">Del 5 — Jeres egen strategi.</w:t>
      </w:r>
      <w:r>
        <w:t xml:space="preserve"> </w:t>
      </w:r>
      <w:r>
        <w:t xml:space="preserve">Start fra scenarie C. Find en kombination af teknologi og genanvendelse (prisen må ikke ændres), der undgår mangel i alle 100 år — eller kommer så tæt på som muligt. Notér jeres indstillinger og resultatet i</w:t>
      </w:r>
      <w:r>
        <w:t xml:space="preserve"> </w:t>
      </w:r>
      <w:hyperlink w:anchor="tbl-5">
        <w:r>
          <w:rPr>
            <w:rStyle w:val="Hyperlink"/>
          </w:rPr>
          <w:t xml:space="preserve">Tabel 5</w:t>
        </w:r>
      </w:hyperlink>
      <w:r>
        <w:t xml:space="preserve">.</w:t>
      </w:r>
    </w:p>
    <w:bookmarkEnd w:id="38"/>
    <w:bookmarkStart w:id="44" w:name="registrering-af-målinger"/>
    <w:p>
      <w:pPr>
        <w:pStyle w:val="Heading2"/>
      </w:pPr>
      <w:r>
        <w:t xml:space="preserve">Registrering af målinger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9" w:name="tbl-1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Tabel 1: Del 1 — reserven ved forskellige priser (teknologi 0 %, genanvendelse 30 %).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1131"/>
              <w:gridCol w:w="1131"/>
              <w:gridCol w:w="1131"/>
              <w:gridCol w:w="1131"/>
              <w:gridCol w:w="1131"/>
              <w:gridCol w:w="1131"/>
              <w:gridCol w:w="1131"/>
            </w:tblGrid>
            <w:tr>
              <w:trPr>
                <w:cantSplit/>
                <w:tblHeader w:val="on"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Pris (USD/t)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5.000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7.000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9.000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12.000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15.000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20.000</w:t>
                  </w: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Reserve (mio. t)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Udvinding (mio. t/år)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R/P-forhold (år)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bookmarkEnd w:id="39"/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0" w:name="tbl-2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Tabel 2: Del 2 — reserven ved bedre teknologi (pris 9.000 USD/t).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1131"/>
              <w:gridCol w:w="1131"/>
              <w:gridCol w:w="1131"/>
              <w:gridCol w:w="1131"/>
              <w:gridCol w:w="1131"/>
              <w:gridCol w:w="1131"/>
              <w:gridCol w:w="1131"/>
            </w:tblGrid>
            <w:tr>
              <w:trPr>
                <w:cantSplit/>
                <w:tblHeader w:val="on"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Teknologi (lavere omkostning, %)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10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20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30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40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50</w:t>
                  </w: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Reserve (mio. t)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bookmarkEnd w:id="40"/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1" w:name="tbl-3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Tabel 3: Del 3 — genanvendelse, udvinding og R/P-forhold (pris 9.000 USD/t).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1584"/>
              <w:gridCol w:w="1584"/>
              <w:gridCol w:w="1584"/>
              <w:gridCol w:w="1584"/>
              <w:gridCol w:w="1584"/>
            </w:tblGrid>
            <w:tr>
              <w:trPr>
                <w:cantSplit/>
                <w:tblHeader w:val="on"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Genanvendelse (%)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30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50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80</w:t>
                  </w: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Udvinding (mio. t/år)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R/P-forhold (år)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bookmarkEnd w:id="41"/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2" w:name="tbl-4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Tabel 4: Del 4 — fire scenarier over tid.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1980"/>
              <w:gridCol w:w="1485"/>
              <w:gridCol w:w="1485"/>
              <w:gridCol w:w="1485"/>
              <w:gridCol w:w="1485"/>
            </w:tblGrid>
            <w:tr>
              <w:trPr>
                <w:cantSplit/>
                <w:tblHeader w:val="on"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Scenarie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R/P i år 0 (år)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Reserve i år 20 (mio. t)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Første år med mangel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Pris i år 20 / år 50 (USD/t)</w:t>
                  </w: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A: ingen vækst, ingen efterforskning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—</w:t>
                  </w: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B: vækst, ingen efterforskning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—</w:t>
                  </w: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C: vækst og efterforskning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—</w:t>
                  </w: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D: som C, markedet styrer prisen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bookmarkEnd w:id="42"/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3" w:name="tbl-5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Tabel 5: Del 5 — jeres egne forsøg med scenarie C som udgangspunkt.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1980"/>
              <w:gridCol w:w="1980"/>
              <w:gridCol w:w="1980"/>
              <w:gridCol w:w="1980"/>
            </w:tblGrid>
            <w:tr>
              <w:trPr>
                <w:cantSplit/>
                <w:tblHeader w:val="on"/>
              </w:trPr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Teknologi (%)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Genanvendelse (%)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Første år med mangel (eller «ingen»)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Reserve i år 100 (mio. t)</w:t>
                  </w: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bookmarkEnd w:id="43"/>
          <w:p/>
        </w:tc>
      </w:tr>
    </w:tbl>
    <w:bookmarkEnd w:id="44"/>
    <w:bookmarkStart w:id="45" w:name="databehandling"/>
    <w:p>
      <w:pPr>
        <w:pStyle w:val="Heading2"/>
      </w:pPr>
      <w:r>
        <w:t xml:space="preserve">Databehandling</w:t>
      </w:r>
    </w:p>
    <w:p>
      <w:pPr>
        <w:pStyle w:val="Compact"/>
        <w:numPr>
          <w:ilvl w:val="0"/>
          <w:numId w:val="1003"/>
        </w:numPr>
      </w:pPr>
      <w:r>
        <w:t xml:space="preserve">Kontrollér simuleringens R/P-forhold: beregn selv R/P ud fra reserven og udvindingen for tre af kolonnerne i</w:t>
      </w:r>
      <w:r>
        <w:t xml:space="preserve"> </w:t>
      </w:r>
      <w:hyperlink w:anchor="tbl-1">
        <w:r>
          <w:rPr>
            <w:rStyle w:val="Hyperlink"/>
          </w:rPr>
          <w:t xml:space="preserve">Tabel 1</w:t>
        </w:r>
      </w:hyperlink>
      <w:r>
        <w:t xml:space="preserve">, og sammenlign med det aflæste tal.</w:t>
      </w:r>
    </w:p>
    <w:p>
      <w:pPr>
        <w:pStyle w:val="FirstParagraph"/>
      </w:pPr>
      <m:oMathPara>
        <m:oMathParaPr>
          <m:jc m:val="center"/>
        </m:oMathParaPr>
        <m:oMath>
          <m:r>
            <m:rPr>
              <m:nor/>
              <m:sty m:val="p"/>
            </m:rPr>
            <m:t>R/P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nor/>
                  <m:sty m:val="p"/>
                </m:rPr>
                <m:t>reserve</m:t>
              </m:r>
            </m:num>
            <m:den>
              <m:r>
                <m:rPr>
                  <m:nor/>
                  <m:sty m:val="p"/>
                </m:rPr>
                <m:t>udvinding pr. år</m:t>
              </m:r>
            </m:den>
          </m:f>
        </m:oMath>
      </m:oMathPara>
    </w:p>
    <w:p>
      <w:pPr>
        <w:numPr>
          <w:ilvl w:val="0"/>
          <w:numId w:val="1004"/>
        </w:numPr>
      </w:pPr>
      <w:r>
        <w:t xml:space="preserve">Tegn en graf med prisen på x-aksen og reserven på y-aksen (</w:t>
      </w:r>
      <w:hyperlink w:anchor="tbl-1">
        <w:r>
          <w:rPr>
            <w:rStyle w:val="Hyperlink"/>
          </w:rPr>
          <w:t xml:space="preserve">Tabel 1</w:t>
        </w:r>
      </w:hyperlink>
      <w:r>
        <w:t xml:space="preserve">). Beskriv kurvens form: vokser reserven lige meget for hver 1.000 USD/t, prisen stiger? Hvordan passer det med</w:t>
      </w:r>
      <w:r>
        <w:t xml:space="preserve"> </w:t>
      </w:r>
      <w:hyperlink w:anchor="fig-kassen">
        <w:r>
          <w:rPr>
            <w:rStyle w:val="Hyperlink"/>
          </w:rPr>
          <w:t xml:space="preserve">Figur 1</w:t>
        </w:r>
      </w:hyperlink>
      <w:r>
        <w:t xml:space="preserve">?</w:t>
      </w:r>
    </w:p>
    <w:p>
      <w:pPr>
        <w:numPr>
          <w:ilvl w:val="0"/>
          <w:numId w:val="1004"/>
        </w:numPr>
      </w:pPr>
      <w:r>
        <w:t xml:space="preserve">Beregn for hver teknologiværdi i</w:t>
      </w:r>
      <w:r>
        <w:t xml:space="preserve"> </w:t>
      </w:r>
      <w:hyperlink w:anchor="tbl-2">
        <w:r>
          <w:rPr>
            <w:rStyle w:val="Hyperlink"/>
          </w:rPr>
          <w:t xml:space="preserve">Tabel 2</w:t>
        </w:r>
      </w:hyperlink>
      <w:r>
        <w:t xml:space="preserve">, hvor mange procent reserven er vokset i forhold til 0 %:</w:t>
      </w:r>
    </w:p>
    <w:p>
      <w:pPr>
        <w:pStyle w:val="FirstParagraph"/>
      </w:pPr>
      <m:oMathPara>
        <m:oMathParaPr>
          <m:jc m:val="center"/>
        </m:oMathParaPr>
        <m:oMath>
          <m:r>
            <m:rPr>
              <m:nor/>
              <m:sty m:val="p"/>
            </m:rPr>
            <m:t>Ændring i reserve (%)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R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R</m:t>
                  </m:r>
                </m:e>
                <m:sub>
                  <m:r>
                    <m:t>0</m:t>
                  </m:r>
                </m:sub>
              </m:sSub>
            </m:num>
            <m:den>
              <m:sSub>
                <m:e>
                  <m:r>
                    <m:t>R</m:t>
                  </m:r>
                </m:e>
                <m:sub>
                  <m:r>
                    <m:t>0</m:t>
                  </m:r>
                </m:sub>
              </m:sSub>
            </m:den>
          </m:f>
          <m:r>
            <m:rPr>
              <m:sty m:val="p"/>
            </m:rPr>
            <m:t>⋅</m:t>
          </m:r>
          <m:r>
            <m:t>100</m:t>
          </m:r>
          <m:r>
            <m:t> </m:t>
          </m:r>
          <m:r>
            <m:rPr>
              <m:sty m:val="p"/>
            </m:rPr>
            <m:t>%</m:t>
          </m:r>
        </m:oMath>
      </m:oMathPara>
    </w:p>
    <w:p>
      <w:pPr>
        <w:pStyle w:val="FirstParagraph"/>
      </w:pPr>
      <w:r>
        <w:t xml:space="preserve">hvor</w:t>
      </w:r>
      <w:r>
        <w:t xml:space="preserve"> </w:t>
      </w:r>
      <m:oMath>
        <m:sSub>
          <m:e>
            <m:r>
              <m:t>R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er reserven ved 0 %. Sammenlign med prisen: Hvilken pris i</w:t>
      </w:r>
      <w:r>
        <w:t xml:space="preserve"> </w:t>
      </w:r>
      <w:hyperlink w:anchor="tbl-1">
        <w:r>
          <w:rPr>
            <w:rStyle w:val="Hyperlink"/>
          </w:rPr>
          <w:t xml:space="preserve">Tabel 1</w:t>
        </w:r>
      </w:hyperlink>
      <w:r>
        <w:t xml:space="preserve"> </w:t>
      </w:r>
      <w:r>
        <w:t xml:space="preserve">giver omtrent samme reserve som 30 % billigere udvinding?</w:t>
      </w:r>
    </w:p>
    <w:p>
      <w:pPr>
        <w:pStyle w:val="Compact"/>
        <w:numPr>
          <w:ilvl w:val="0"/>
          <w:numId w:val="1005"/>
        </w:numPr>
      </w:pPr>
      <w:r>
        <w:t xml:space="preserve">Udvindingen er den del af forbruget, der ikke dækkes af genanvendelse. Beregn den forventede udvinding for hver kolonne i</w:t>
      </w:r>
      <w:r>
        <w:t xml:space="preserve"> </w:t>
      </w:r>
      <w:hyperlink w:anchor="tbl-3">
        <w:r>
          <w:rPr>
            <w:rStyle w:val="Hyperlink"/>
          </w:rPr>
          <w:t xml:space="preserve">Tabel 3</w:t>
        </w:r>
      </w:hyperlink>
      <w:r>
        <w:t xml:space="preserve"> </w:t>
      </w:r>
      <w:r>
        <w:t xml:space="preserve">ud fra et forbrug på 32 mio. t/år, og sammenlign med det aflæste tal:</w:t>
      </w:r>
    </w:p>
    <w:p>
      <w:pPr>
        <w:pStyle w:val="FirstParagraph"/>
      </w:pPr>
      <m:oMathPara>
        <m:oMathParaPr>
          <m:jc m:val="center"/>
        </m:oMathParaPr>
        <m:oMath>
          <m:r>
            <m:rPr>
              <m:nor/>
              <m:sty m:val="p"/>
            </m:rPr>
            <m:t>udvinding</m:t>
          </m:r>
          <m:r>
            <m:rPr>
              <m:sty m:val="p"/>
            </m:rPr>
            <m:t>=</m:t>
          </m:r>
          <m:r>
            <m:rPr>
              <m:nor/>
              <m:sty m:val="p"/>
            </m:rPr>
            <m:t>forbrug</m:t>
          </m:r>
          <m:r>
            <m:rPr>
              <m:sty m:val="p"/>
            </m:rPr>
            <m:t>⋅</m:t>
          </m:r>
          <m:d>
            <m:dPr>
              <m:begChr m:val="("/>
              <m:sepChr m:val=""/>
              <m:endChr m:val=")"/>
              <m:grow/>
            </m:dPr>
            <m:e>
              <m:r>
                <m:t>1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rPr>
                      <m:nor/>
                      <m:sty m:val="p"/>
                    </m:rPr>
                    <m:t>genanvendelse i %</m:t>
                  </m:r>
                </m:num>
                <m:den>
                  <m:r>
                    <m:t>100</m:t>
                  </m:r>
                </m:den>
              </m:f>
            </m:e>
          </m:d>
        </m:oMath>
      </m:oMathPara>
    </w:p>
    <w:p>
      <w:pPr>
        <w:pStyle w:val="Compact"/>
        <w:numPr>
          <w:ilvl w:val="0"/>
          <w:numId w:val="1006"/>
        </w:numPr>
      </w:pPr>
      <w:r>
        <w:t xml:space="preserve">Sammenlign for scenarie A–D i</w:t>
      </w:r>
      <w:r>
        <w:t xml:space="preserve"> </w:t>
      </w:r>
      <w:hyperlink w:anchor="tbl-4">
        <w:r>
          <w:rPr>
            <w:rStyle w:val="Hyperlink"/>
          </w:rPr>
          <w:t xml:space="preserve">Tabel 4</w:t>
        </w:r>
      </w:hyperlink>
      <w:r>
        <w:t xml:space="preserve"> </w:t>
      </w:r>
      <w:r>
        <w:t xml:space="preserve">R/P-forholdet i år 0 (prognosen) med det år, hvor manglen faktisk opstod. Beregn forskellen i år, og forklar for hvert scenarie, hvorfor prognosen ramte for lavt, for højt eller rigtigt.</w:t>
      </w:r>
    </w:p>
    <w:bookmarkEnd w:id="45"/>
    <w:bookmarkStart w:id="46" w:name="journalspørgsmål"/>
    <w:p>
      <w:pPr>
        <w:pStyle w:val="Heading2"/>
      </w:pPr>
      <w:r>
        <w:t xml:space="preserve">Journalspørgsmål</w:t>
      </w:r>
    </w:p>
    <w:p>
      <w:pPr>
        <w:pStyle w:val="Compact"/>
        <w:numPr>
          <w:ilvl w:val="0"/>
          <w:numId w:val="1007"/>
        </w:numPr>
      </w:pPr>
      <w:r>
        <w:t xml:space="preserve">Forklar forskellen på en reserve og en ressource med jeres egne ord, og brug resultaterne fra del 1 og 2 til at forklare, hvorfor reserven ikke er et fast tal.</w:t>
      </w:r>
    </w:p>
    <w:p>
      <w:pPr>
        <w:pStyle w:val="Compact"/>
        <w:numPr>
          <w:ilvl w:val="0"/>
          <w:numId w:val="1007"/>
        </w:numPr>
      </w:pPr>
      <w:r>
        <w:t xml:space="preserve">I scenarie C blev der fundet nyt kobber hvert år. Hvorfor kan efterforskning alligevel ikke holde reserven oppe for evigt? Hvad sker der med den uopdagede del af kassen?</w:t>
      </w:r>
    </w:p>
    <w:p>
      <w:pPr>
        <w:pStyle w:val="Compact"/>
        <w:numPr>
          <w:ilvl w:val="0"/>
          <w:numId w:val="1007"/>
        </w:numPr>
      </w:pPr>
      <w:r>
        <w:t xml:space="preserve">I scenarie D stiger prisen, når reserven bliver knap. Forklar, hvordan den højere pris påvirker både reserven, efterforskningen og forbruget, og hvorfor det kan holde R/P-forholdet næsten konstant i mange år.</w:t>
      </w:r>
    </w:p>
    <w:p>
      <w:pPr>
        <w:pStyle w:val="Compact"/>
        <w:numPr>
          <w:ilvl w:val="0"/>
          <w:numId w:val="1007"/>
        </w:numPr>
      </w:pPr>
      <w:r>
        <w:t xml:space="preserve">Kobbers R/P-forhold har i årtier ligget omkring 30–45 år, selvom der hvert år er brudt mere kobber end året før. Forklar det ud fra jeres resultater. Betyder det, at vi aldrig kan løbe tør?</w:t>
      </w:r>
    </w:p>
    <w:p>
      <w:pPr>
        <w:pStyle w:val="Compact"/>
        <w:numPr>
          <w:ilvl w:val="0"/>
          <w:numId w:val="1007"/>
        </w:numPr>
      </w:pPr>
      <w:r>
        <w:t xml:space="preserve">Hvilken rolle spiller den cirkulære materialestrøm for, hvor længe et råstof rækker? Brug del 3 og del 5, og nævn, hvad der i virkeligheden gør det svært at genanvende metaller fra fx elektronik.</w:t>
      </w:r>
    </w:p>
    <w:p>
      <w:pPr>
        <w:pStyle w:val="Compact"/>
        <w:numPr>
          <w:ilvl w:val="0"/>
          <w:numId w:val="1007"/>
        </w:numPr>
      </w:pPr>
      <w:r>
        <w:t xml:space="preserve">Modellen ser kun på geologi, pris, teknologi og forbrug. Nævn mindst tre forhold fra virkeligheden, som den ikke tager med — fx kritiske råstoffer, konfliktmineraler, miljøkrav eller politisk ustabilitet i producentlandene — og forklar, hvordan hvert af dem kunne ændre forsyningen af kobber.</w:t>
      </w:r>
    </w:p>
    <w:p>
      <w:pPr>
        <w:pStyle w:val="Compact"/>
        <w:numPr>
          <w:ilvl w:val="0"/>
          <w:numId w:val="1007"/>
        </w:numPr>
      </w:pPr>
      <w:r>
        <w:t xml:space="preserve">Hvor sikker er en prognose for råstofforbruget 50 år frem? Diskutér, hvilke af modellens antagelser der er mest usikre, og hvordan det påvirker jeres konklusioner.</w:t>
      </w:r>
    </w:p>
    <w:bookmarkEnd w:id="46"/>
    <w:sectPr>
      <w:headerReference r:id="rId7" w:type="default"/>
      <w:footerReference r:id="rId8" w:type="default"/>
      <w:pgSz w:h="16838" w:orient="portrait" w:w="11906"/>
      <w:pgMar w:bottom="1224" w:footer="500" w:gutter="0" w:header="500" w:left="1152" w:right="1152" w:top="1224"/>
      <w:pgNumType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="http://schemas.openxmlformats.org/wordprocessingml/2006/main">
  <w:p>
    <w:pPr>
      <w:pBdr>
        <w:top w:val="single" w:color="A9BBA1" w:sz="4" w:space="6"/>
      </w:pBdr>
      <w:tabs>
        <w:tab w:val="right" w:pos="9026"/>
      </w:tabs>
    </w:pPr>
    <w:r>
      <w:rPr>
        <w:rFonts w:ascii="Calibri" w:cs="Calibri" w:eastAsia="Calibri" w:hAnsi="Calibri"/>
        <w:i/>
        <w:iCs/>
        <w:color w:val="6B7A66"/>
        <w:sz w:val="16"/>
        <w:szCs w:val="16"/>
      </w:rPr>
      <w:t xml:space="preserve">Øvelsesvejledning</w:t>
    </w:r>
    <w:r>
      <w:rPr>
        <w:rFonts w:ascii="Calibri" w:cs="Calibri" w:eastAsia="Calibri" w:hAnsi="Calibri"/>
      </w:rPr>
      <w:t xml:space="preserve">	</w:t>
    </w:r>
    <w:r>
      <w:rPr>
        <w:rFonts w:ascii="Calibri" w:cs="Calibri" w:eastAsia="Calibri" w:hAnsi="Calibri"/>
        <w:color w:val="6B7A66"/>
        <w:sz w:val="16"/>
        <w:szCs w:val="16"/>
      </w:rPr>
      <w:t xml:space="preserve">Side </w:t>
    </w:r>
    <w:r>
      <w:rPr>
        <w:rFonts w:ascii="Calibri" w:cs="Calibri" w:eastAsia="Calibri" w:hAnsi="Calibri"/>
        <w:color w:val="6B7A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66"/>
        <w:sz w:val="16"/>
        <w:szCs w:val="16"/>
      </w:rPr>
      <w:t xml:space="preserve"> af </w:t>
    </w:r>
    <w:r>
      <w:rPr>
        <w:rFonts w:ascii="Calibri" w:cs="Calibri" w:eastAsia="Calibri" w:hAnsi="Calibri"/>
        <w:color w:val="6B7A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>
  <w:p>
    <w:pPr>
      <w:pBdr>
        <w:bottom w:val="single" w:color="A9BBA1" w:sz="4" w:space="6"/>
      </w:pBdr>
      <w:tabs>
        <w:tab w:val="right" w:pos="9026"/>
      </w:tabs>
      <w:spacing w:after="0"/>
    </w:pPr>
    <w:r>
      <w:rPr>
        <w:rFonts w:ascii="Calibri" w:cs="Calibri" w:eastAsia="Calibri" w:hAnsi="Calibri"/>
        <w:b/>
        <w:bCs/>
        <w:color w:val="6B7A66"/>
        <w:spacing w:val="18"/>
        <w:sz w:val="16"/>
        <w:szCs w:val="16"/>
      </w:rPr>
      <w:t xml:space="preserve">NATURGEOGRAFI</w:t>
    </w:r>
    <w:r>
      <w:rPr>
        <w:rFonts w:ascii="Calibri" w:cs="Calibri" w:eastAsia="Calibri" w:hAnsi="Calibri"/>
      </w:rPr>
      <w:t xml:space="preserve">	</w:t>
    </w:r>
    <w:r>
      <w:rPr>
        <w:rFonts w:ascii="Calibri" w:cs="Calibri" w:eastAsia="Calibri" w:hAnsi="Calibri"/>
        <w:color w:val="6B7A66"/>
        <w:spacing w:val="10"/>
        <w:sz w:val="16"/>
        <w:szCs w:val="16"/>
      </w:rPr>
      <w:t xml:space="preserve"/>
    </w:r>
  </w:p>
</w:hdr>
</file>

<file path=word/numbering.xml><?xml version="1.0" encoding="utf-8"?>
<w:numbering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15:restartNumberingAfterBreak="0" w:abstractNumId="1">
    <w:multiLevelType w:val="hybridMultilevel"/>
    <w:lvl w15:tentative="1" w:ilvl="0">
      <w:start w:val="1"/>
      <w:numFmt w:val="bullet"/>
      <w:lvlText w:val="●"/>
      <w:lvlJc w:val="left"/>
      <w:pPr>
        <w:ind w:hanging="360" w:left="720"/>
      </w:pPr>
    </w:lvl>
    <w:lvl w15:tentative="1" w:ilvl="1">
      <w:start w:val="1"/>
      <w:numFmt w:val="bullet"/>
      <w:lvlText w:val="○"/>
      <w:lvlJc w:val="left"/>
      <w:pPr>
        <w:ind w:hanging="360" w:left="1440"/>
      </w:pPr>
    </w:lvl>
    <w:lvl w15:tentative="1" w:ilvl="2">
      <w:start w:val="1"/>
      <w:numFmt w:val="bullet"/>
      <w:lvlText w:val="■"/>
      <w:lvlJc w:val="left"/>
      <w:pPr>
        <w:ind w:hanging="360" w:left="2160"/>
      </w:pPr>
    </w:lvl>
    <w:lvl w15:tentative="1" w:ilvl="3">
      <w:start w:val="1"/>
      <w:numFmt w:val="bullet"/>
      <w:lvlText w:val="●"/>
      <w:lvlJc w:val="left"/>
      <w:pPr>
        <w:ind w:hanging="360" w:left="2880"/>
      </w:pPr>
    </w:lvl>
    <w:lvl w15:tentative="1" w:ilvl="4">
      <w:start w:val="1"/>
      <w:numFmt w:val="bullet"/>
      <w:lvlText w:val="○"/>
      <w:lvlJc w:val="left"/>
      <w:pPr>
        <w:ind w:hanging="360" w:left="3600"/>
      </w:pPr>
    </w:lvl>
    <w:lvl w15:tentative="1" w:ilvl="5">
      <w:start w:val="1"/>
      <w:numFmt w:val="bullet"/>
      <w:lvlText w:val="■"/>
      <w:lvlJc w:val="left"/>
      <w:pPr>
        <w:ind w:hanging="360" w:left="4320"/>
      </w:pPr>
    </w:lvl>
    <w:lvl w15:tentative="1" w:ilvl="6">
      <w:start w:val="1"/>
      <w:numFmt w:val="bullet"/>
      <w:lvlText w:val="●"/>
      <w:lvlJc w:val="left"/>
      <w:pPr>
        <w:ind w:hanging="360" w:left="5040"/>
      </w:pPr>
    </w:lvl>
    <w:lvl w15:tentative="1" w:ilvl="7">
      <w:start w:val="1"/>
      <w:numFmt w:val="bullet"/>
      <w:lvlText w:val="●"/>
      <w:lvlJc w:val="left"/>
      <w:pPr>
        <w:ind w:hanging="360" w:left="5760"/>
      </w:pPr>
    </w:lvl>
    <w:lvl w15:tentative="1" w:ilvl="8">
      <w:start w:val="1"/>
      <w:numFmt w:val="bullet"/>
      <w:lvlText w:val="●"/>
      <w:lvlJc w:val="left"/>
      <w:pPr>
        <w:ind w:hanging="360" w:left="6480"/>
      </w:pPr>
    </w:lvl>
  </w:abstractNum>
  <w:abstractNum w15:restartNumberingAfterBreak="0" w:abstractNumId="2">
    <w:multiLevelType w:val="hybridMultilevel"/>
    <w:lvl w15:tentative="1" w:ilvl="0">
      <w:start w:val="1"/>
      <w:numFmt w:val="decimal"/>
      <w:lvlText w:val="%1."/>
      <w:lvlJc w:val="start"/>
      <w:pPr>
        <w:ind w:hanging="300" w:left="420"/>
      </w:pPr>
    </w:lvl>
  </w:abstractNum>
  <w:abstractNum w15:restartNumberingAfterBreak="0" w:abstractNumId="3">
    <w:multiLevelType w:val="hybridMultilevel"/>
    <w:lvl w15:tentative="1" w:ilvl="0">
      <w:start w:val="1"/>
      <w:numFmt w:val="bullet"/>
      <w:lvlText w:val="–"/>
      <w:lvlJc w:val="start"/>
      <w:pPr>
        <w:ind w:hanging="200" w:left="32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displayBackgroundShape/>
  <w:embedSystemFonts/>
  <w:proofState w:grammar="clean" w:spelling="clean"/>
  <w:stylePaneFormatFilter w:val="0004"/>
  <w:doNotTrackMoves/>
  <w:defaultTabStop w:val="720"/>
  <w:evenAndOddHeaders w:val="false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5"/>
  </w:compat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6332B"/>
        <w:sz w:val="22"/>
        <w:szCs w:val="22"/>
        <w:lang w:val="da"/>
      </w:rPr>
    </w:rPrDefault>
    <w:pPrDefault>
      <w:pPr>
        <w:spacing w:after="140" w:line="276" w:lineRule="auto"/>
      </w:pPr>
    </w:pPrDefault>
  </w:docDefaults>
  <w:style w:default="1" w:styleId="Normal" w:type="paragraph">
    <w:name w:val="Normal"/>
    <w:qFormat/>
  </w:style>
  <w:style w:styleId="Title" w:type="paragraph">
    <w:name w:val="Title"/>
    <w:basedOn w:val="Normal"/>
    <w:next w:val="Normal"/>
    <w:qFormat/>
    <w:pPr>
      <w:spacing w:after="80" w:before="40"/>
    </w:pPr>
    <w:rPr>
      <w:b/>
      <w:bCs/>
      <w:color w:val="2C4527"/>
      <w:sz w:val="52"/>
      <w:szCs w:val="52"/>
    </w:rPr>
  </w:style>
  <w:style w:styleId="Subtitle" w:type="paragraph">
    <w:name w:val="Subtitle"/>
    <w:basedOn w:val="Normal"/>
    <w:next w:val="Normal"/>
    <w:qFormat/>
    <w:pPr>
      <w:spacing w:after="220" w:before="0"/>
    </w:pPr>
    <w:rPr>
      <w:color w:val="6B7A66"/>
      <w:sz w:val="20"/>
    </w:rPr>
  </w:style>
  <w:style w:styleId="Heading1" w:type="paragraph">
    <w:name w:val="Heading 1"/>
    <w:basedOn w:val="Normal"/>
    <w:next w:val="Normal"/>
    <w:qFormat/>
    <w:pPr>
      <w:pBdr>
        <w:left w:color="3F5F3A" w:space="8" w:sz="18" w:val="single"/>
      </w:pBdr>
      <w:spacing w:after="140" w:before="320"/>
      <w:ind w:left="140"/>
    </w:pPr>
    <w:rPr>
      <w:b/>
      <w:bCs/>
      <w:color w:val="2C4527"/>
      <w:sz w:val="32"/>
      <w:szCs w:val="32"/>
    </w:rPr>
  </w:style>
  <w:style w:styleId="Heading2" w:type="paragraph">
    <w:name w:val="Heading 2"/>
    <w:basedOn w:val="Normal"/>
    <w:next w:val="Normal"/>
    <w:qFormat/>
    <w:pPr>
      <w:pBdr>
        <w:left w:color="3F5F3A" w:space="8" w:sz="18" w:val="single"/>
      </w:pBdr>
      <w:spacing w:after="120" w:before="300"/>
      <w:ind w:left="140"/>
    </w:pPr>
    <w:rPr>
      <w:b/>
      <w:bCs/>
      <w:color w:val="2C4527"/>
      <w:sz w:val="27"/>
      <w:szCs w:val="27"/>
    </w:rPr>
  </w:style>
  <w:style w:styleId="Heading3" w:type="paragraph">
    <w:name w:val="Heading 3"/>
    <w:basedOn w:val="Normal"/>
    <w:next w:val="Normal"/>
    <w:qFormat/>
    <w:pPr>
      <w:spacing w:after="100" w:before="200"/>
    </w:pPr>
    <w:rPr>
      <w:b/>
      <w:bCs/>
      <w:color w:val="3F5F3A"/>
      <w:sz w:val="24"/>
      <w:szCs w:val="24"/>
    </w:rPr>
  </w:style>
  <w:style w:styleId="Heading4" w:type="paragraph">
    <w:name w:val="Heading 4"/>
    <w:basedOn w:val="Normal"/>
    <w:next w:val="Normal"/>
    <w:qFormat/>
    <w:rPr>
      <w:i/>
      <w:iCs/>
      <w:color w:val="3F5F3A"/>
    </w:rPr>
  </w:style>
  <w:style w:styleId="Heading5" w:type="paragraph">
    <w:name w:val="Heading 5"/>
    <w:basedOn w:val="Normal"/>
    <w:next w:val="Normal"/>
    <w:qFormat/>
    <w:rPr>
      <w:color w:val="3F5F3A"/>
    </w:rPr>
  </w:style>
  <w:style w:styleId="Heading6" w:type="paragraph">
    <w:name w:val="Heading 6"/>
    <w:basedOn w:val="Normal"/>
    <w:next w:val="Normal"/>
    <w:qFormat/>
    <w:rPr>
      <w:color w:val="6B7A66"/>
    </w:rPr>
  </w:style>
  <w:style w:styleId="Strong" w:type="paragraph">
    <w:name w:val="Strong"/>
    <w:basedOn w:val="Normal"/>
    <w:next w:val="Normal"/>
    <w:qFormat/>
    <w:rPr>
      <w:b/>
      <w:bCs/>
    </w:rPr>
  </w:style>
  <w:style w:styleId="ListParagraph" w:type="paragraph">
    <w:name w:val="List Paragraph"/>
    <w:basedOn w:val="Normal"/>
    <w:qFormat/>
  </w:style>
  <w:style w:styleId="BodyText" w:type="paragraph">
    <w:name w:val="Body Text"/>
    <w:basedOn w:val="Normal"/>
    <w:next w:val="Normal"/>
    <w:qFormat/>
  </w:style>
  <w:style w:styleId="FirstParagraph" w:type="paragraph">
    <w:name w:val="First Paragraph"/>
    <w:basedOn w:val="Normal"/>
    <w:next w:val="Normal"/>
    <w:qFormat/>
    <w:pPr>
      <w:spacing w:before="0"/>
    </w:pPr>
  </w:style>
  <w:style w:styleId="Compact" w:type="paragraph">
    <w:name w:val="Compact"/>
    <w:basedOn w:val="ListParagraph"/>
    <w:next w:val="Compact"/>
    <w:qFormat/>
    <w:pPr>
      <w:spacing w:after="90" w:line="276" w:lineRule="auto"/>
    </w:pPr>
  </w:style>
  <w:style w:styleId="CaptionedFigure" w:type="paragraph">
    <w:name w:val="Captioned Figure"/>
    <w:basedOn w:val="Normal"/>
    <w:next w:val="Normal"/>
    <w:qFormat/>
    <w:pPr>
      <w:spacing w:after="0" w:before="120"/>
      <w:jc w:val="center"/>
    </w:pPr>
  </w:style>
  <w:style w:styleId="Caption" w:type="paragraph">
    <w:name w:val="Caption"/>
    <w:basedOn w:val="Normal"/>
    <w:next w:val="Normal"/>
    <w:qFormat/>
    <w:pPr>
      <w:spacing w:after="220" w:before="100"/>
      <w:jc w:val="center"/>
    </w:pPr>
    <w:rPr>
      <w:i/>
      <w:iCs/>
      <w:color w:val="6B7A66"/>
      <w:sz w:val="19"/>
      <w:szCs w:val="19"/>
    </w:rPr>
  </w:style>
  <w:style w:styleId="ImageCaption" w:type="paragraph">
    <w:name w:val="Image Caption"/>
    <w:basedOn w:val="Caption"/>
    <w:next w:val="Normal"/>
    <w:qFormat/>
  </w:style>
  <w:style w:styleId="Table" w:type="table">
    <w:name w:val="Table"/>
    <w:basedOn w:val="TableNormal"/>
    <w:uiPriority w:val="99"/>
    <w:pPr>
      <w:spacing w:after="0" w:line="256" w:lineRule="auto"/>
    </w:pPr>
    <w:tblPr>
      <w:tblBorders>
        <w:top w:color="8FA085" w:space="0" w:sz="4" w:val="single"/>
        <w:left w:color="8FA085" w:space="0" w:sz="4" w:val="single"/>
        <w:bottom w:color="8FA085" w:space="0" w:sz="4" w:val="single"/>
        <w:right w:color="8FA085" w:space="0" w:sz="4" w:val="single"/>
        <w:insideH w:color="C7D0C0" w:space="0" w:sz="4" w:val="single"/>
        <w:insideV w:color="C7D0C0" w:space="0" w:sz="4" w:val="single"/>
      </w:tblBorders>
    </w:tblPr>
    <w:tcPr>
      <w:tcMar>
        <w:top w:type="dxa" w:w="90"/>
        <w:left w:type="dxa" w:w="120"/>
        <w:bottom w:type="dxa" w:w="90"/>
        <w:right w:type="dxa" w:w="120"/>
      </w:tcMar>
    </w:tcPr>
  </w:style>
  <w:style w:default="1" w:styleId="TableNormal" w:type="table">
    <w:name w:val="Normal Table"/>
    <w:uiPriority w:val="99"/>
    <w:semiHidden/>
    <w:unhideWhenUsed/>
    <w:tblPr>
      <w:tblCellMar>
        <w:top w:type="dxa" w:w="0"/>
        <w:left w:type="dxa" w:w="108"/>
        <w:bottom w:type="dxa" w:w="0"/>
        <w:right w:type="dxa" w:w="108"/>
      </w:tblCellMar>
    </w:tblPr>
  </w:style>
  <w:style w:styleId="FirstRow" w:type="table">
    <w:name w:val="First Row"/>
    <w:basedOn w:val="Table"/>
    <w:uiPriority w:val="99"/>
  </w:style>
  <w:style w:styleId="Hyperlink" w:type="character">
    <w:name w:val="Hyperlink"/>
    <w:basedOn w:val="DefaultParagraphFont"/>
    <w:uiPriority w:val="99"/>
    <w:unhideWhenUsed/>
    <w:rPr>
      <w:color w:val="1F5F8B"/>
      <w:u w:val="single"/>
    </w:rPr>
  </w:style>
  <w:style w:styleId="FootnoteReference" w:type="character">
    <w:name w:val="footnote reference"/>
    <w:basedOn w:val="DefaultParagraphFont"/>
    <w:uiPriority w:val="99"/>
    <w:semiHidden/>
    <w:unhideWhenUsed/>
    <w:rPr>
      <w:vertAlign w:val="superscript"/>
    </w:rPr>
  </w:style>
  <w:style w:styleId="FootnoteText" w:type="paragraph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styleId="FootnoteTextChar" w:type="characte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styleId="EndnoteReference" w:type="character">
    <w:name w:val="endnote reference"/>
    <w:basedOn w:val="DefaultParagraphFont"/>
    <w:uiPriority w:val="99"/>
    <w:semiHidden/>
    <w:unhideWhenUsed/>
    <w:rPr>
      <w:vertAlign w:val="superscript"/>
    </w:rPr>
  </w:style>
  <w:style w:styleId="EndnoteText" w:type="paragraph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styleId="EndnoteTextChar" w:type="characte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8" Target="numbering.xml" /><Relationship Type="http://schemas.openxmlformats.org/officeDocument/2006/relationships/styles" Id="rId17" Target="styles.xml" /><Relationship Type="http://schemas.openxmlformats.org/officeDocument/2006/relationships/settings" Id="rId16" Target="settings.xml" /><Relationship Type="http://schemas.openxmlformats.org/officeDocument/2006/relationships/webSettings" Id="rId15" Target="webSettings.xml" /><Relationship Type="http://schemas.openxmlformats.org/officeDocument/2006/relationships/fontTable" Id="rId14" Target="fontTable.xml" /><Relationship Type="http://schemas.openxmlformats.org/officeDocument/2006/relationships/theme" Id="rId13" Target="theme/theme1.xml" /><Relationship Type="http://schemas.openxmlformats.org/officeDocument/2006/relationships/footnotes" Id="rId12" Target="footnotes.xml" /><Relationship Type="http://schemas.openxmlformats.org/officeDocument/2006/relationships/comments" Id="rId11" Target="comments.xml" /><Relationship Id="rId7" Target="header1.xml" Type="http://schemas.openxmlformats.org/officeDocument/2006/relationships/header" /><Relationship Id="rId8" Target="footer1.xml" Type="http://schemas.openxmlformats.org/officeDocument/2006/relationships/footer" /><Relationship Id="rId9" Target="media/ff4355ab3d7b3fb047ac1bb9b81f09919282c810.png" Type="http://schemas.openxmlformats.org/officeDocument/2006/relationships/image" /><Relationship Id="rId10" Target="media/22118e1eede36edf4136c10d3e20d9ff95fafa9e.png" Type="http://schemas.openxmlformats.org/officeDocument/2006/relationships/image" /><Relationship Type="http://schemas.openxmlformats.org/officeDocument/2006/relationships/image" Id="rId29" Target="media/rId29.png" /><Relationship Type="http://schemas.openxmlformats.org/officeDocument/2006/relationships/image" Id="rId33" Target="media/rId33.png" /><Relationship Type="http://schemas.openxmlformats.org/officeDocument/2006/relationships/image" Id="rId20" Target="media/rId20.svg" /><Relationship Type="http://schemas.openxmlformats.org/officeDocument/2006/relationships/image" Id="rId25" Target="media/rId25.png" /><Relationship Type="http://schemas.openxmlformats.org/officeDocument/2006/relationships/image" Id="rId23" Target="media/rId23.png" /><Relationship Type="http://schemas.openxmlformats.org/officeDocument/2006/relationships/hyperlink" Id="rId32" Target="https://smbi.dk/geografi/raastoffer.html" TargetMode="External" 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https://smbi.dk/geografi/raastoffer.html" TargetMode="External" /></Relationships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Reserve og ressource</dc:title>
  <dc:creator/>
  <dc:language>da</dc:language>
  <cp:keywords/>
  <dcterms:created xsi:type="dcterms:W3CDTF">2026-10-08T20:03:01Z</dcterms:created>
  <dcterms:modified xsi:type="dcterms:W3CDTF">2026-10-08T20:03:01Z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doc-type">
    <vt:lpwstr>Øvelsesvejledning</vt:lpwstr>
  </property>
  <property fmtid="{D5CDD505-2E9C-101B-9397-08002B2CF9AE}" pid="4" name="fag">
    <vt:lpwstr>Naturgeografi</vt:lpwstr>
  </property>
  <property fmtid="{D5CDD505-2E9C-101B-9397-08002B2CF9AE}" pid="5" name="header-includes">
    <vt:lpwstr/>
  </property>
  <property fmtid="{D5CDD505-2E9C-101B-9397-08002B2CF9AE}" pid="6" name="hold">
    <vt:lpwstr/>
  </property>
  <property fmtid="{D5CDD505-2E9C-101B-9397-08002B2CF9AE}" pid="7" name="include-after">
    <vt:lpwstr/>
  </property>
  <property fmtid="{D5CDD505-2E9C-101B-9397-08002B2CF9AE}" pid="8" name="include-before">
    <vt:lpwstr/>
  </property>
  <property fmtid="{D5CDD505-2E9C-101B-9397-08002B2CF9AE}" pid="9" name="labels">
    <vt:lpwstr/>
  </property>
  <property fmtid="{D5CDD505-2E9C-101B-9397-08002B2CF9AE}" pid="10" name="subtitle">
    <vt:lpwstr>Simuleringsøvelse om råstoffer</vt:lpwstr>
  </property>
  <property fmtid="{D5CDD505-2E9C-101B-9397-08002B2CF9AE}" pid="11" name="toc-title">
    <vt:lpwstr>Indholdsfortegnelse</vt:lpwstr>
  </property>
</Properties>
</file>