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31.png" ContentType="image/png"/>
  <Override PartName="/word/media/rId28.png" ContentType="image/png"/>
  <Override PartName="/word/media/rId19.png" ContentType="image/png"/>
  <Override PartName="/word/media/rId24.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Opmåling af terrænprofil</w:t>
      </w:r>
    </w:p>
    <w:p>
      <w:pPr>
        <w:pStyle w:val="Subtitle"/>
      </w:pPr>
      <w:r>
        <w:t xml:space="preserve">Feltøvelse</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____________________________________________</w:t>
      </w:r>
    </w:p>
    <w:bookmarkStart w:id="23" w:name="om-øvelsen"/>
    <w:p>
      <w:pPr>
        <w:pStyle w:val="Heading2"/>
      </w:pPr>
      <w:r>
        <w:t xml:space="preserve">Om øvelsen</w:t>
      </w:r>
    </w:p>
    <w:p>
      <w:pPr>
        <w:pStyle w:val="FirstParagraph"/>
      </w:pPr>
      <w:r>
        <w:t xml:space="preserve">I dag skal I opmåle et terrænprofil, så I bagefter kan tegne terrænformerne langs profilet.</w:t>
      </w:r>
    </w:p>
    <w:p>
      <w:pPr>
        <w:pStyle w:val="BodyText"/>
      </w:pPr>
      <w:r>
        <w:t xml:space="preserve">Øvelsen udføres på volden ved den gamle swimmingpool øst for gymnasiet, samt på plænerne omkring den.</w:t>
      </w:r>
    </w:p>
    <w:tbl>
      <w:tblPr>
        <w:tblStyle w:val="Table"/>
        <w:tblW w:type="pct" w:w="5000"/>
        <w:tblLayout w:type="fixed"/>
        <w:tblLook w:firstRow="0" w:lastRow="0" w:firstColumn="0" w:lastColumn="0" w:noHBand="0" w:noVBand="0" w:val="0000"/>
      </w:tblPr>
      <w:tblGrid>
        <w:gridCol w:w="7920"/>
      </w:tblGrid>
      <w:tr>
        <w:tc>
          <w:tcPr/>
          <w:bookmarkStart w:id="22" w:name="fig-terraen"/>
          <w:p>
            <w:pPr>
              <w:pStyle w:val="Compact"/>
              <w:jc w:val="center"/>
            </w:pPr>
            <w:r>
              <w:drawing>
                <wp:inline>
                  <wp:extent cx="6096000" cy="2302933"/>
                  <wp:effectExtent b="0" l="0" r="0" t="0"/>
                  <wp:docPr descr="" title="" id="20" name="Picture"/>
                  <a:graphic>
                    <a:graphicData uri="http://schemas.openxmlformats.org/drawingml/2006/picture">
                      <pic:pic>
                        <pic:nvPicPr>
                          <pic:cNvPr descr="figurer/figur1.png" id="21" name="Picture"/>
                          <pic:cNvPicPr>
                            <a:picLocks noChangeArrowheads="1" noChangeAspect="1"/>
                          </pic:cNvPicPr>
                        </pic:nvPicPr>
                        <pic:blipFill>
                          <a:blip r:embed="rId19"/>
                          <a:stretch>
                            <a:fillRect/>
                          </a:stretch>
                        </pic:blipFill>
                        <pic:spPr bwMode="auto">
                          <a:xfrm>
                            <a:off x="0" y="0"/>
                            <a:ext cx="6096000" cy="2302933"/>
                          </a:xfrm>
                          <a:prstGeom prst="rect">
                            <a:avLst/>
                          </a:prstGeom>
                          <a:noFill/>
                          <a:ln w="9525">
                            <a:noFill/>
                            <a:headEnd/>
                            <a:tailEnd/>
                          </a:ln>
                        </pic:spPr>
                      </pic:pic>
                    </a:graphicData>
                  </a:graphic>
                </wp:inline>
              </w:drawing>
            </w:r>
          </w:p>
          <w:p>
            <w:pPr>
              <w:jc w:val="center"/>
            </w:pPr>
            <w:pPr>
              <w:jc w:val="left"/>
              <w:spacing w:before="200"/>
              <w:pStyle w:val="ImageCaption"/>
            </w:pPr>
            <w:r>
              <w:t xml:space="preserve">Figur 1: Skematisk illustration af øvelsesterrænet. Måleretning: fra venstre mod højre.</w:t>
            </w:r>
          </w:p>
          <w:bookmarkEnd w:id="22"/>
        </w:tc>
      </w:tr>
    </w:tbl>
    <w:bookmarkEnd w:id="23"/>
    <w:bookmarkStart w:id="34" w:name="fremgangsmåde"/>
    <w:p>
      <w:pPr>
        <w:pStyle w:val="Heading2"/>
      </w:pPr>
      <w:r>
        <w:t xml:space="preserve">Fremgangsmåde</w:t>
      </w:r>
    </w:p>
    <w:p>
      <w:pPr>
        <w:pStyle w:val="Compact"/>
        <w:numPr>
          <w:ilvl w:val="0"/>
          <w:numId w:val="1001"/>
        </w:numPr>
      </w:pPr>
      <w:r>
        <w:t xml:space="preserve">Sæt landmålerstokkene i en lige række hen over terrænet, i den retning I vil måle profilet (se</w:t>
      </w:r>
      <w:r>
        <w:t xml:space="preserve"> </w:t>
      </w:r>
      <w:hyperlink w:anchor="fig-terraen">
        <w:r>
          <w:rPr>
            <w:rStyle w:val="Hyperlink"/>
          </w:rPr>
          <w:t xml:space="preserve">Figur 1</w:t>
        </w:r>
      </w:hyperlink>
      <w:r>
        <w:t xml:space="preserve">).</w:t>
      </w:r>
    </w:p>
    <w:p>
      <w:pPr>
        <w:pStyle w:val="Compact"/>
        <w:numPr>
          <w:ilvl w:val="0"/>
          <w:numId w:val="1001"/>
        </w:numPr>
      </w:pPr>
      <w:r>
        <w:t xml:space="preserve">Spænd snoren mellem de to forreste stokke, og brug vaterpasset til at sikre, at snoren hænger helt vandret (i vater).</w:t>
      </w:r>
    </w:p>
    <w:p>
      <w:pPr>
        <w:pStyle w:val="Compact"/>
        <w:numPr>
          <w:ilvl w:val="0"/>
          <w:numId w:val="1001"/>
        </w:numPr>
      </w:pPr>
      <w:r>
        <w:t xml:space="preserve">Mål den vandrette afstand mellem de to stokke med målebåndet, og skriv den ind i skemaet.</w:t>
      </w:r>
    </w:p>
    <w:p>
      <w:pPr>
        <w:pStyle w:val="Compact"/>
        <w:numPr>
          <w:ilvl w:val="0"/>
          <w:numId w:val="1001"/>
        </w:numPr>
      </w:pPr>
      <w:r>
        <w:t xml:space="preserve">Mål højden fra jorden op til snoren ved hver af de to stokke, med meterstokken eller det korte målebånd (se</w:t>
      </w:r>
      <w:r>
        <w:t xml:space="preserve"> </w:t>
      </w:r>
      <w:hyperlink w:anchor="fig-maalemetode">
        <w:r>
          <w:rPr>
            <w:rStyle w:val="Hyperlink"/>
          </w:rPr>
          <w:t xml:space="preserve">Figur 2</w:t>
        </w:r>
      </w:hyperlink>
      <w:r>
        <w:t xml:space="preserve">).</w:t>
      </w:r>
    </w:p>
    <w:tbl>
      <w:tblPr>
        <w:tblStyle w:val="Table"/>
        <w:tblW w:type="pct" w:w="5000"/>
        <w:tblLayout w:type="fixed"/>
        <w:tblLook w:firstRow="0" w:lastRow="0" w:firstColumn="0" w:lastColumn="0" w:noHBand="0" w:noVBand="0" w:val="0000"/>
      </w:tblPr>
      <w:tblGrid>
        <w:gridCol w:w="7920"/>
      </w:tblGrid>
      <w:tr>
        <w:tc>
          <w:tcPr/>
          <w:bookmarkStart w:id="27" w:name="fig-maalemetode"/>
          <w:p>
            <w:pPr>
              <w:pStyle w:val="Compact"/>
              <w:jc w:val="center"/>
            </w:pPr>
            <w:r>
              <w:drawing>
                <wp:inline>
                  <wp:extent cx="6096000" cy="2020956"/>
                  <wp:effectExtent b="0" l="0" r="0" t="0"/>
                  <wp:docPr descr="" title="" id="25" name="Picture"/>
                  <a:graphic>
                    <a:graphicData uri="http://schemas.openxmlformats.org/drawingml/2006/picture">
                      <pic:pic>
                        <pic:nvPicPr>
                          <pic:cNvPr descr="figurer/figur2.png" id="26" name="Picture"/>
                          <pic:cNvPicPr>
                            <a:picLocks noChangeArrowheads="1" noChangeAspect="1"/>
                          </pic:cNvPicPr>
                        </pic:nvPicPr>
                        <pic:blipFill>
                          <a:blip r:embed="rId24"/>
                          <a:stretch>
                            <a:fillRect/>
                          </a:stretch>
                        </pic:blipFill>
                        <pic:spPr bwMode="auto">
                          <a:xfrm>
                            <a:off x="0" y="0"/>
                            <a:ext cx="6096000" cy="2020956"/>
                          </a:xfrm>
                          <a:prstGeom prst="rect">
                            <a:avLst/>
                          </a:prstGeom>
                          <a:noFill/>
                          <a:ln w="9525">
                            <a:noFill/>
                            <a:headEnd/>
                            <a:tailEnd/>
                          </a:ln>
                        </pic:spPr>
                      </pic:pic>
                    </a:graphicData>
                  </a:graphic>
                </wp:inline>
              </w:drawing>
            </w:r>
          </w:p>
          <w:p>
            <w:pPr>
              <w:jc w:val="center"/>
            </w:pPr>
            <w:pPr>
              <w:jc w:val="left"/>
              <w:spacing w:before="200"/>
              <w:pStyle w:val="ImageCaption"/>
            </w:pPr>
            <w:r>
              <w:t xml:space="preserve">Figur 2: Afstanden måles vandret mellem stokkene. Højdeændringen er positiv, når terrænet stiger, og negativ, når det falder.</w:t>
            </w:r>
          </w:p>
          <w:bookmarkEnd w:id="27"/>
        </w:tc>
      </w:tr>
    </w:tbl>
    <w:p>
      <w:pPr>
        <w:pStyle w:val="Compact"/>
        <w:numPr>
          <w:ilvl w:val="0"/>
          <w:numId w:val="1002"/>
        </w:numPr>
      </w:pPr>
      <w:r>
        <w:t xml:space="preserve">Beregn højdeændringen som forskellen mellem de to målte højder. Husk fortegn: positiv (+), hvis terrænet stiger, og negativ (–), hvis det falder.</w:t>
      </w:r>
    </w:p>
    <w:p>
      <w:pPr>
        <w:pStyle w:val="Compact"/>
        <w:numPr>
          <w:ilvl w:val="0"/>
          <w:numId w:val="1002"/>
        </w:numPr>
      </w:pPr>
      <w:r>
        <w:t xml:space="preserve">Er højdeforskellen mellem to stokke større end stokkenes egen højde, skal I sætte en eller flere ekstra stokke ind imellem, så I kan måle højdeændringen i mindre trin.</w:t>
      </w:r>
    </w:p>
    <w:p>
      <w:pPr>
        <w:pStyle w:val="Compact"/>
        <w:numPr>
          <w:ilvl w:val="0"/>
          <w:numId w:val="1002"/>
        </w:numPr>
      </w:pPr>
      <w:r>
        <w:t xml:space="preserve">Flyt jer én strækning frem, og gentag målingerne, indtil hele profilet er opmålt.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29" name="Picture"/>
                  <a:graphic>
                    <a:graphicData uri="http://schemas.openxmlformats.org/drawingml/2006/picture">
                      <pic:pic>
                        <pic:nvPicPr>
                          <pic:cNvPr descr="/Applications/quarto/share/formats/docx/tip.png" id="30" name="Picture"/>
                          <pic:cNvPicPr>
                            <a:picLocks noChangeArrowheads="1" noChangeAspect="1"/>
                          </pic:cNvPicPr>
                        </pic:nvPicPr>
                        <pic:blipFill>
                          <a:blip r:embed="rId2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Dobbelttjek at snoren er helt i vater, før I aflæser højden på stokken — en skæv snor giver en forkert højdeændring. Læs af i øjenhøjde, ikke skråt oppefra eller nedefra.</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32" name="Picture"/>
                  <a:graphic>
                    <a:graphicData uri="http://schemas.openxmlformats.org/drawingml/2006/picture">
                      <pic:pic>
                        <pic:nvPicPr>
                          <pic:cNvPr descr="/Applications/quarto/share/formats/docx/note.png" id="33"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3"/>
              </w:numPr>
            </w:pPr>
            <w:r>
              <w:t xml:space="preserve">5–6 rød- og hvidstribede landmålerstokke</w:t>
            </w:r>
          </w:p>
          <w:p>
            <w:pPr>
              <w:pStyle w:val="Compact"/>
              <w:numPr>
                <w:ilvl w:val="0"/>
                <w:numId w:val="1003"/>
              </w:numPr>
            </w:pPr>
            <w:r>
              <w:t xml:space="preserve">Et flere meter langt stykke snor</w:t>
            </w:r>
          </w:p>
          <w:p>
            <w:pPr>
              <w:pStyle w:val="Compact"/>
              <w:numPr>
                <w:ilvl w:val="0"/>
                <w:numId w:val="1003"/>
              </w:numPr>
            </w:pPr>
            <w:r>
              <w:t xml:space="preserve">Et vaterpas</w:t>
            </w:r>
          </w:p>
          <w:p>
            <w:pPr>
              <w:pStyle w:val="Compact"/>
              <w:numPr>
                <w:ilvl w:val="0"/>
                <w:numId w:val="1003"/>
              </w:numPr>
            </w:pPr>
            <w:r>
              <w:t xml:space="preserve">En meterstok</w:t>
            </w:r>
          </w:p>
          <w:p>
            <w:pPr>
              <w:pStyle w:val="Compact"/>
              <w:numPr>
                <w:ilvl w:val="0"/>
                <w:numId w:val="1003"/>
              </w:numPr>
            </w:pPr>
            <w:r>
              <w:t xml:space="preserve">Et 30 m målebånd</w:t>
            </w:r>
          </w:p>
          <w:p>
            <w:pPr>
              <w:pStyle w:val="Compact"/>
              <w:numPr>
                <w:ilvl w:val="0"/>
                <w:numId w:val="1003"/>
              </w:numPr>
            </w:pPr>
            <w:r>
              <w:t xml:space="preserve">Et 3 m målebånd (eller et symålebånd)</w:t>
            </w:r>
          </w:p>
          <w:p/>
        </w:tc>
      </w:tr>
    </w:tbl>
    <w:bookmarkEnd w:id="34"/>
    <w:bookmarkStart w:id="36" w:name="registrering-af-målinger"/>
    <w:p>
      <w:pPr>
        <w:pStyle w:val="Heading2"/>
      </w:pPr>
      <w:r>
        <w:t xml:space="preserve">Registrering af målinger</w:t>
      </w:r>
    </w:p>
    <w:tbl>
      <w:tblPr>
        <w:tblStyle w:val="Table"/>
        <w:tblW w:type="pct" w:w="5000"/>
        <w:tblLayout w:type="fixed"/>
        <w:tblLook w:firstRow="0" w:lastRow="0" w:firstColumn="0" w:lastColumn="0" w:noHBand="0" w:noVBand="0" w:val="0000"/>
      </w:tblPr>
      <w:tblGrid>
        <w:gridCol w:w="7920"/>
      </w:tblGrid>
      <w:tr>
        <w:tc>
          <w:tcPr/>
          <w:bookmarkStart w:id="35" w:name="tbl-1"/>
          <w:p>
            <w:pPr>
              <w:jc w:val="center"/>
            </w:pPr>
            <w:pPr>
              <w:jc w:val="left"/>
              <w:spacing w:before="200"/>
              <w:pStyle w:val="ImageCaption"/>
            </w:pPr>
            <w:r>
              <w:t xml:space="preserve">Tabel 1: Måleresultater. Husk fortegn ved højdeændringerne!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cantSplit/>
                <w:tblHeader w:val="on"/>
              </w:trPr>
              <w:tc>
                <w:tcPr/>
                <w:p>
                  <w:pPr>
                    <w:pStyle w:val="Compact"/>
                    <w:keepNext/>
                    <w:jc w:val="left"/>
                    <w:jc w:val="center"/>
                  </w:pPr>
                  <w:r>
                    <w:t xml:space="preserve">Strækning</w:t>
                  </w:r>
                </w:p>
              </w:tc>
              <w:tc>
                <w:tcPr/>
                <w:p>
                  <w:pPr>
                    <w:pStyle w:val="Compact"/>
                    <w:keepNext/>
                    <w:jc w:val="center"/>
                    <w:jc w:val="center"/>
                  </w:pPr>
                  <w:r>
                    <w:t xml:space="preserve">A (1-2)</w:t>
                  </w:r>
                </w:p>
              </w:tc>
              <w:tc>
                <w:tcPr/>
                <w:p>
                  <w:pPr>
                    <w:pStyle w:val="Compact"/>
                    <w:keepNext/>
                    <w:jc w:val="center"/>
                    <w:jc w:val="center"/>
                  </w:pPr>
                  <w:r>
                    <w:t xml:space="preserve">B (2-3)</w:t>
                  </w:r>
                </w:p>
              </w:tc>
              <w:tc>
                <w:tcPr/>
                <w:p>
                  <w:pPr>
                    <w:pStyle w:val="Compact"/>
                    <w:keepNext/>
                    <w:jc w:val="center"/>
                    <w:jc w:val="center"/>
                  </w:pPr>
                  <w:r>
                    <w:t xml:space="preserve">C (3-4)</w:t>
                  </w:r>
                </w:p>
              </w:tc>
              <w:tc>
                <w:tcPr/>
                <w:p>
                  <w:pPr>
                    <w:pStyle w:val="Compact"/>
                    <w:keepNext/>
                    <w:jc w:val="center"/>
                    <w:jc w:val="center"/>
                  </w:pPr>
                  <w:r>
                    <w:t xml:space="preserve">D (4-5)</w:t>
                  </w:r>
                </w:p>
              </w:tc>
              <w:tc>
                <w:tcPr/>
                <w:p>
                  <w:pPr>
                    <w:pStyle w:val="Compact"/>
                    <w:keepNext/>
                    <w:jc w:val="center"/>
                    <w:jc w:val="center"/>
                  </w:pPr>
                  <w:r>
                    <w:t xml:space="preserve">E (5-6)</w:t>
                  </w:r>
                </w:p>
              </w:tc>
            </w:tr>
            <w:tr>
              <w:trPr>
                <w:cantSplit/>
              </w:trPr>
              <w:tc>
                <w:tcPr/>
                <w:p>
                  <w:pPr>
                    <w:pStyle w:val="Compact"/>
                    <w:keepNext/>
                    <w:jc w:val="left"/>
                    <w:jc w:val="center"/>
                  </w:pPr>
                  <w:r>
                    <w:t xml:space="preserve">Afstand (m)</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Snorens højde på første stok (cm)</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keepNext/>
                    <w:jc w:val="left"/>
                    <w:jc w:val="center"/>
                  </w:pPr>
                  <w:r>
                    <w:t xml:space="preserve">Snorens højde på anden stok (cm)</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jc w:val="left"/>
                    <w:jc w:val="center"/>
                  </w:pPr>
                  <w:r>
                    <w:rPr>
                      <w:b/>
                      <w:bCs/>
                    </w:rPr>
                    <w:t xml:space="preserve">Beregnet højdeændring (cm)</w:t>
                  </w:r>
                  <w:r>
                    <w:t xml:space="preserve"> </w:t>
                  </w:r>
                  <w:r>
                    <w:t xml:space="preserve">— HUSK FORTEGN!</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35"/>
          <w:p/>
        </w:tc>
      </w:tr>
    </w:tbl>
    <w:p>
      <w:pPr>
        <w:pStyle w:val="BodyText"/>
      </w:pPr>
      <w:r>
        <w:rPr>
          <w:i/>
          <w:iCs/>
        </w:rPr>
        <w:t xml:space="preserve">Sætter I ekstra stokke ind undervejs, tilføjes ekstra kolonner i hånden.</w:t>
      </w:r>
    </w:p>
    <w:bookmarkEnd w:id="36"/>
    <w:bookmarkStart w:id="38" w:name="databehandling"/>
    <w:p>
      <w:pPr>
        <w:pStyle w:val="Heading2"/>
      </w:pPr>
      <w:r>
        <w:t xml:space="preserve">Databehandling</w:t>
      </w:r>
    </w:p>
    <w:p>
      <w:pPr>
        <w:pStyle w:val="Compact"/>
        <w:numPr>
          <w:ilvl w:val="0"/>
          <w:numId w:val="1004"/>
        </w:numPr>
      </w:pPr>
      <w:r>
        <w:t xml:space="preserve">Beregn for hver stok den samlede vandrette afstand fra startstokken og den samlede højde i forhold til startstokken ved at lægge strækningernes afstande og højdeændringer sammen (husk fortegn):</w:t>
      </w:r>
    </w:p>
    <w:p>
      <w:pPr>
        <w:pStyle w:val="FirstParagraph"/>
      </w:pPr>
      <m:oMathPara>
        <m:oMathParaPr>
          <m:jc m:val="center"/>
        </m:oMathParaPr>
        <m:oMath>
          <m:sSub>
            <m:e>
              <m:r>
                <m:t>x</m:t>
              </m:r>
            </m:e>
            <m:sub>
              <m:r>
                <m:t>n</m:t>
              </m:r>
            </m:sub>
          </m:sSub>
          <m:r>
            <m:rPr>
              <m:sty m:val="p"/>
            </m:rPr>
            <m:t>=</m:t>
          </m:r>
          <m:nary>
            <m:naryPr>
              <m:chr m:val="∑"/>
              <m:limLoc m:val="undOvr"/>
              <m:subHide m:val="off"/>
              <m:supHide m:val="off"/>
            </m:naryPr>
            <m:sub>
              <m:r>
                <m:t>i</m:t>
              </m:r>
              <m:r>
                <m:rPr>
                  <m:sty m:val="p"/>
                </m:rPr>
                <m:t>=</m:t>
              </m:r>
              <m:r>
                <m:t>1</m:t>
              </m:r>
            </m:sub>
            <m:sup>
              <m:r>
                <m:t>n</m:t>
              </m:r>
            </m:sup>
            <m:e>
              <m:sSub>
                <m:e>
                  <m:r>
                    <m:rPr>
                      <m:nor/>
                      <m:sty m:val="p"/>
                    </m:rPr>
                    <m:t>afstand</m:t>
                  </m:r>
                </m:e>
                <m:sub>
                  <m:r>
                    <m:t>i</m:t>
                  </m:r>
                </m:sub>
              </m:sSub>
            </m:e>
          </m:nary>
          <m:r>
            <m:t>  </m:t>
          </m:r>
          <m:sSub>
            <m:e>
              <m:r>
                <m:t>h</m:t>
              </m:r>
            </m:e>
            <m:sub>
              <m:r>
                <m:t>n</m:t>
              </m:r>
            </m:sub>
          </m:sSub>
          <m:r>
            <m:rPr>
              <m:sty m:val="p"/>
            </m:rPr>
            <m:t>=</m:t>
          </m:r>
          <m:nary>
            <m:naryPr>
              <m:chr m:val="∑"/>
              <m:limLoc m:val="undOvr"/>
              <m:subHide m:val="off"/>
              <m:supHide m:val="off"/>
            </m:naryPr>
            <m:sub>
              <m:r>
                <m:t>i</m:t>
              </m:r>
              <m:r>
                <m:rPr>
                  <m:sty m:val="p"/>
                </m:rPr>
                <m:t>=</m:t>
              </m:r>
              <m:r>
                <m:t>1</m:t>
              </m:r>
            </m:sub>
            <m:sup>
              <m:r>
                <m:t>n</m:t>
              </m:r>
            </m:sup>
            <m:e>
              <m:r>
                <m:rPr>
                  <m:sty m:val="p"/>
                </m:rPr>
                <m:t>Δ</m:t>
              </m:r>
            </m:e>
          </m:nary>
          <m:sSub>
            <m:e>
              <m:r>
                <m:t>h</m:t>
              </m:r>
            </m:e>
            <m:sub>
              <m:r>
                <m:t>i</m:t>
              </m:r>
            </m:sub>
          </m:sSub>
        </m:oMath>
      </m:oMathPara>
    </w:p>
    <w:tbl>
      <w:tblPr>
        <w:tblStyle w:val="Table"/>
        <w:tblW w:type="pct" w:w="5000"/>
        <w:tblLayout w:type="fixed"/>
        <w:tblLook w:firstRow="0" w:lastRow="0" w:firstColumn="0" w:lastColumn="0" w:noHBand="0" w:noVBand="0" w:val="0000"/>
      </w:tblPr>
      <w:tblGrid>
        <w:gridCol w:w="7920"/>
      </w:tblGrid>
      <w:tr>
        <w:tc>
          <w:tcPr/>
          <w:bookmarkStart w:id="37" w:name="tbl-2"/>
          <w:p>
            <w:pPr>
              <w:jc w:val="center"/>
            </w:pPr>
            <w:pPr>
              <w:jc w:val="left"/>
              <w:spacing w:before="200"/>
              <w:pStyle w:val="ImageCaption"/>
            </w:pPr>
            <w:r>
              <w:t xml:space="preserve">Tabel 2: Profilets punkter, udledt af</w:t>
            </w:r>
            <w:r>
              <w:t xml:space="preserve"> </w:t>
            </w:r>
            <w:hyperlink w:anchor="tbl-1">
              <w:r>
                <w:rPr>
                  <w:rStyle w:val="Hyperlink"/>
                </w:rPr>
                <w:t xml:space="preserve">Tabel 1</w:t>
              </w:r>
            </w:hyperlink>
            <w:r>
              <w:t xml:space="preserv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cantSplit/>
                <w:tblHeader w:val="on"/>
              </w:trPr>
              <w:tc>
                <w:tcPr/>
                <w:p>
                  <w:pPr>
                    <w:pStyle w:val="Compact"/>
                    <w:keepNext/>
                    <w:jc w:val="left"/>
                    <w:jc w:val="center"/>
                  </w:pPr>
                  <w:r>
                    <w:t xml:space="preserve">Stok</w:t>
                  </w:r>
                </w:p>
              </w:tc>
              <w:tc>
                <w:tcPr/>
                <w:p>
                  <w:pPr>
                    <w:pStyle w:val="Compact"/>
                    <w:keepNext/>
                    <w:jc w:val="center"/>
                    <w:jc w:val="center"/>
                  </w:pPr>
                  <w:r>
                    <w:t xml:space="preserve">1</w:t>
                  </w:r>
                </w:p>
              </w:tc>
              <w:tc>
                <w:tcPr/>
                <w:p>
                  <w:pPr>
                    <w:pStyle w:val="Compact"/>
                    <w:keepNext/>
                    <w:jc w:val="center"/>
                    <w:jc w:val="center"/>
                  </w:pPr>
                  <w:r>
                    <w:t xml:space="preserve">2</w:t>
                  </w:r>
                </w:p>
              </w:tc>
              <w:tc>
                <w:tcPr/>
                <w:p>
                  <w:pPr>
                    <w:pStyle w:val="Compact"/>
                    <w:keepNext/>
                    <w:jc w:val="center"/>
                    <w:jc w:val="center"/>
                  </w:pPr>
                  <w:r>
                    <w:t xml:space="preserve">3</w:t>
                  </w:r>
                </w:p>
              </w:tc>
              <w:tc>
                <w:tcPr/>
                <w:p>
                  <w:pPr>
                    <w:pStyle w:val="Compact"/>
                    <w:keepNext/>
                    <w:jc w:val="center"/>
                    <w:jc w:val="center"/>
                  </w:pPr>
                  <w:r>
                    <w:t xml:space="preserve">4</w:t>
                  </w:r>
                </w:p>
              </w:tc>
              <w:tc>
                <w:tcPr/>
                <w:p>
                  <w:pPr>
                    <w:pStyle w:val="Compact"/>
                    <w:keepNext/>
                    <w:jc w:val="center"/>
                    <w:jc w:val="center"/>
                  </w:pPr>
                  <w:r>
                    <w:t xml:space="preserve">5</w:t>
                  </w:r>
                </w:p>
              </w:tc>
              <w:tc>
                <w:tcPr/>
                <w:p>
                  <w:pPr>
                    <w:pStyle w:val="Compact"/>
                    <w:keepNext/>
                    <w:jc w:val="center"/>
                    <w:jc w:val="center"/>
                  </w:pPr>
                  <w:r>
                    <w:t xml:space="preserve">6</w:t>
                  </w:r>
                </w:p>
              </w:tc>
            </w:tr>
            <w:tr>
              <w:trPr>
                <w:cantSplit/>
              </w:trPr>
              <w:tc>
                <w:tcPr/>
                <w:p>
                  <w:pPr>
                    <w:pStyle w:val="Compact"/>
                    <w:keepNext/>
                    <w:jc w:val="left"/>
                    <w:jc w:val="center"/>
                  </w:pPr>
                  <w:r>
                    <w:t xml:space="preserve">Samlet afstand fra stok 1 (m)</w:t>
                  </w:r>
                </w:p>
              </w:tc>
              <w:tc>
                <w:tcPr/>
                <w:p>
                  <w:pPr>
                    <w:pStyle w:val="Compact"/>
                    <w:keepNext/>
                    <w:jc w:val="center"/>
                    <w:jc w:val="center"/>
                  </w:pPr>
                  <w:r>
                    <w:t xml:space="preserve">0</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r>
              <w:trPr>
                <w:cantSplit/>
              </w:trPr>
              <w:tc>
                <w:tcPr/>
                <w:p>
                  <w:pPr>
                    <w:pStyle w:val="Compact"/>
                    <w:jc w:val="left"/>
                    <w:jc w:val="center"/>
                  </w:pPr>
                  <w:r>
                    <w:t xml:space="preserve">Højde i forhold til stok 1 (cm)</w:t>
                  </w:r>
                </w:p>
              </w:tc>
              <w:tc>
                <w:tcPr/>
                <w:p>
                  <w:pPr>
                    <w:pStyle w:val="Compact"/>
                    <w:jc w:val="center"/>
                    <w:jc w:val="center"/>
                  </w:pPr>
                  <w:r>
                    <w:t xml:space="preserve">0</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37"/>
          <w:p/>
        </w:tc>
      </w:tr>
    </w:tbl>
    <w:p>
      <w:pPr>
        <w:pStyle w:val="Compact"/>
        <w:numPr>
          <w:ilvl w:val="0"/>
          <w:numId w:val="1005"/>
        </w:numPr>
      </w:pPr>
      <w:r>
        <w:t xml:space="preserve">Tegn terrænprofilet på millimeterpapir eller i et regneark: afstand på x-aksen og højde på y-aksen. Vælg målestok for begge akser, og angiv dem på tegningen. Beregn den</w:t>
      </w:r>
      <w:r>
        <w:t xml:space="preserve"> </w:t>
      </w:r>
      <w:r>
        <w:rPr>
          <w:i/>
          <w:iCs/>
        </w:rPr>
        <w:t xml:space="preserve">overhøjning</w:t>
      </w:r>
      <w:r>
        <w:t xml:space="preserve">, I har brugt:</w:t>
      </w:r>
    </w:p>
    <w:p>
      <w:pPr>
        <w:pStyle w:val="FirstParagraph"/>
      </w:pPr>
      <m:oMathPara>
        <m:oMathParaPr>
          <m:jc m:val="center"/>
        </m:oMathParaPr>
        <m:oMath>
          <m:r>
            <m:rPr>
              <m:nor/>
              <m:sty m:val="p"/>
            </m:rPr>
            <m:t>Overhøjning</m:t>
          </m:r>
          <m:r>
            <m:rPr>
              <m:sty m:val="p"/>
            </m:rPr>
            <m:t>=</m:t>
          </m:r>
          <m:f>
            <m:fPr>
              <m:type m:val="bar"/>
            </m:fPr>
            <m:num>
              <m:r>
                <m:rPr>
                  <m:nor/>
                  <m:sty m:val="p"/>
                </m:rPr>
                <m:t>lodret målestok</m:t>
              </m:r>
            </m:num>
            <m:den>
              <m:r>
                <m:rPr>
                  <m:nor/>
                  <m:sty m:val="p"/>
                </m:rPr>
                <m:t>vandret målestok</m:t>
              </m:r>
            </m:den>
          </m:f>
        </m:oMath>
      </m:oMathPara>
    </w:p>
    <w:p>
      <w:pPr>
        <w:pStyle w:val="Compact"/>
        <w:numPr>
          <w:ilvl w:val="0"/>
          <w:numId w:val="1006"/>
        </w:numPr>
      </w:pPr>
      <w:r>
        <w:t xml:space="preserve">Beregn hældningen for hver strækning i procent og i grader, og find den stejleste strækning:</w:t>
      </w:r>
    </w:p>
    <w:p>
      <w:pPr>
        <w:pStyle w:val="FirstParagraph"/>
      </w:pPr>
      <m:oMathPara>
        <m:oMathParaPr>
          <m:jc m:val="center"/>
        </m:oMathParaPr>
        <m:oMath>
          <m:r>
            <m:rPr>
              <m:nor/>
              <m:sty m:val="p"/>
            </m:rPr>
            <m:t>Hældning (%)</m:t>
          </m:r>
          <m:r>
            <m:rPr>
              <m:sty m:val="p"/>
            </m:rPr>
            <m:t>=</m:t>
          </m:r>
          <m:f>
            <m:fPr>
              <m:type m:val="bar"/>
            </m:fPr>
            <m:num>
              <m:r>
                <m:rPr>
                  <m:sty m:val="p"/>
                </m:rPr>
                <m:t>Δ</m:t>
              </m:r>
              <m:r>
                <m:t>h</m:t>
              </m:r>
            </m:num>
            <m:den>
              <m:r>
                <m:rPr>
                  <m:nor/>
                  <m:sty m:val="p"/>
                </m:rPr>
                <m:t>afstand</m:t>
              </m:r>
            </m:den>
          </m:f>
          <m:r>
            <m:rPr>
              <m:sty m:val="p"/>
            </m:rPr>
            <m:t>⋅</m:t>
          </m:r>
          <m:r>
            <m:t>100</m:t>
          </m:r>
          <m:r>
            <m:t>  </m:t>
          </m:r>
          <m:r>
            <m:rPr>
              <m:nor/>
              <m:sty m:val="p"/>
            </m:rPr>
            <m:t>Hældning (°)</m:t>
          </m:r>
          <m:r>
            <m:rPr>
              <m:sty m:val="p"/>
            </m:rPr>
            <m:t>=</m:t>
          </m:r>
          <m:sSup>
            <m:e>
              <m:r>
                <m:rPr>
                  <m:sty m:val="p"/>
                </m:rPr>
                <m:t>tan</m:t>
              </m:r>
            </m:e>
            <m:sup>
              <m:r>
                <m:rPr>
                  <m:sty m:val="p"/>
                </m:rPr>
                <m:t>−</m:t>
              </m:r>
              <m:r>
                <m:t>1</m:t>
              </m:r>
            </m:sup>
          </m:sSup>
          <m:r>
            <m:t>​</m:t>
          </m:r>
          <m:d>
            <m:dPr>
              <m:begChr m:val="("/>
              <m:sepChr m:val=""/>
              <m:endChr m:val=")"/>
              <m:grow/>
            </m:dPr>
            <m:e>
              <m:f>
                <m:fPr>
                  <m:type m:val="bar"/>
                </m:fPr>
                <m:num>
                  <m:r>
                    <m:rPr>
                      <m:sty m:val="p"/>
                    </m:rPr>
                    <m:t>Δ</m:t>
                  </m:r>
                  <m:r>
                    <m:t>h</m:t>
                  </m:r>
                </m:num>
                <m:den>
                  <m:r>
                    <m:rPr>
                      <m:nor/>
                      <m:sty m:val="p"/>
                    </m:rPr>
                    <m:t>afstand</m:t>
                  </m:r>
                </m:den>
              </m:f>
            </m:e>
          </m:d>
        </m:oMath>
      </m:oMathPara>
    </w:p>
    <w:p>
      <w:pPr>
        <w:pStyle w:val="FirstParagraph"/>
      </w:pPr>
      <w:r>
        <w:t xml:space="preserve">(Husk at regne</w:t>
      </w:r>
      <w:r>
        <w:t xml:space="preserve"> </w:t>
      </w:r>
      <m:oMath>
        <m:r>
          <m:rPr>
            <m:sty m:val="p"/>
          </m:rPr>
          <m:t>Δ</m:t>
        </m:r>
        <m:r>
          <m:t>h</m:t>
        </m:r>
      </m:oMath>
      <w:r>
        <w:t xml:space="preserve"> </w:t>
      </w:r>
      <w:r>
        <w:t xml:space="preserve">og afstanden om til samme enhed.)</w:t>
      </w:r>
    </w:p>
    <w:p>
      <w:pPr>
        <w:pStyle w:val="Compact"/>
        <w:numPr>
          <w:ilvl w:val="0"/>
          <w:numId w:val="1007"/>
        </w:numPr>
      </w:pPr>
      <w:r>
        <w:t xml:space="preserve">Sæt navne på terrænformerne langs profilet (fx vold, skråning, flade).</w:t>
      </w:r>
    </w:p>
    <w:bookmarkEnd w:id="38"/>
    <w:bookmarkStart w:id="39" w:name="journalspørgsmål"/>
    <w:p>
      <w:pPr>
        <w:pStyle w:val="Heading2"/>
      </w:pPr>
      <w:r>
        <w:t xml:space="preserve">Journalspørgsmål</w:t>
      </w:r>
    </w:p>
    <w:p>
      <w:pPr>
        <w:pStyle w:val="Compact"/>
        <w:numPr>
          <w:ilvl w:val="0"/>
          <w:numId w:val="1008"/>
        </w:numPr>
      </w:pPr>
      <w:r>
        <w:t xml:space="preserve">Beskriv profilet med fagbegreber: hvor er terrænet fladt, hvor er det stejlt, og hvor stor er den samlede højdeforskel?</w:t>
      </w:r>
    </w:p>
    <w:p>
      <w:pPr>
        <w:pStyle w:val="Compact"/>
        <w:numPr>
          <w:ilvl w:val="0"/>
          <w:numId w:val="1008"/>
        </w:numPr>
      </w:pPr>
      <w:r>
        <w:t xml:space="preserve">Volden ved den gamle swimmingpool er menneskeskabt. Hvordan kan man i terrænet kende forskel på en menneskeskabt terrænform og en naturlig, fx en morænebakke eller en åskrænt?</w:t>
      </w:r>
    </w:p>
    <w:p>
      <w:pPr>
        <w:pStyle w:val="Compact"/>
        <w:numPr>
          <w:ilvl w:val="0"/>
          <w:numId w:val="1008"/>
        </w:numPr>
      </w:pPr>
      <w:r>
        <w:t xml:space="preserve">Hvorfor tegner man ofte terrænprofiler med overhøjning? Hvilke fordele og ulemper har det for læseren?</w:t>
      </w:r>
    </w:p>
    <w:p>
      <w:pPr>
        <w:pStyle w:val="Compact"/>
        <w:numPr>
          <w:ilvl w:val="0"/>
          <w:numId w:val="1008"/>
        </w:numPr>
      </w:pPr>
      <w:r>
        <w:t xml:space="preserve">Hvilke fejlkilder er der ved metoden (fx en snor, der ikke er helt vandret, en skæv stok eller en strækning, der ikke følger profillinjen), og hvordan forplanter en fejl på én strækning sig til resten af profilet?</w:t>
      </w:r>
    </w:p>
    <w:p>
      <w:pPr>
        <w:pStyle w:val="Compact"/>
        <w:numPr>
          <w:ilvl w:val="0"/>
          <w:numId w:val="1008"/>
        </w:numPr>
      </w:pPr>
      <w:r>
        <w:t xml:space="preserve">Sammenlign jeres profil med højdekurverne på et topografisk kort eller Danmarks Højdemodel over samme sted. Stemmer de overens?</w:t>
      </w:r>
    </w:p>
    <w:p>
      <w:pPr>
        <w:pStyle w:val="Compact"/>
        <w:numPr>
          <w:ilvl w:val="0"/>
          <w:numId w:val="1008"/>
        </w:numPr>
      </w:pPr>
      <w:r>
        <w:t xml:space="preserve">Hvordan kunne man bruge samme metode til at opmåle fx et kystprofil eller en ådal, og hvad ville man kunne lære af at gentage målingen et år senere?</w:t>
      </w:r>
    </w:p>
    <w:bookmarkEnd w:id="39"/>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31" Target="media/rId31.png" /><Relationship Type="http://schemas.openxmlformats.org/officeDocument/2006/relationships/image" Id="rId28" Target="media/rId28.png" /><Relationship Type="http://schemas.openxmlformats.org/officeDocument/2006/relationships/image" Id="rId19" Target="media/rId19.png" /><Relationship Type="http://schemas.openxmlformats.org/officeDocument/2006/relationships/image" Id="rId24" Target="media/rId24.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Opmåling af terrænprofil</dc:title>
  <dc:creator/>
  <dc:language>da</dc:language>
  <cp:keywords/>
  <dcterms:created xsi:type="dcterms:W3CDTF">2026-10-14T09:13:16Z</dcterms:created>
  <dcterms:modified xsi:type="dcterms:W3CDTF">2026-10-14T09:13:16Z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Feltøvelse</vt:lpwstr>
  </property>
  <property fmtid="{D5CDD505-2E9C-101B-9397-08002B2CF9AE}" pid="11" name="toc-title">
    <vt:lpwstr>Indholdsfortegnelse</vt:lpwstr>
  </property>
</Properties>
</file>