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rId36.png" ContentType="image/png"/>
  <Override PartName="/word/media/rId39.png" ContentType="image/png"/>
  <Override PartName="/word/media/rId20.svg" ContentType="image/svg+xml"/>
  <Override PartName="/word/media/rId25.svg" ContentType="image/svg+xml"/>
  <Override PartName="/word/media/rId45.svg" ContentType="image/svg+xml"/>
  <Override PartName="/word/media/rId30.svg" ContentType="image/svg+xml"/>
  <Override PartName="/word/media/rId23.png" ContentType="image/png"/>
  <Override PartName="/word/media/rId28.png" ContentType="image/png"/>
  <Override PartName="/word/media/rId33.png" ContentType="image/png"/>
  <Override PartName="/word/media/rId48.png" ContentType="image/png"/>
  <Override PartName="/word/media/ff4355ab3d7b3fb047ac1bb9b81f09919282c810.png" ContentType="image/png"/>
  <Override PartName="/word/media/22118e1eede36edf4136c10d3e20d9ff95fafa9e.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a="http://schemas.openxmlformats.org/drawingml/2006/main" xmlns:m="http://schemas.openxmlformats.org/officeDocument/2006/math" xmlns:ns6="http://schemas.microsoft.com/office/drawing/2010/main" xmlns:ns7="http://schemas.microsoft.com/office/drawing/2016/SVG/main" xmlns:pic="http://schemas.openxmlformats.org/drawingml/2006/picture" xmlns:r="http://schemas.openxmlformats.org/officeDocument/2006/relationships" xmlns:w="http://schemas.openxmlformats.org/wordprocessingml/2006/main" xmlns:wp="http://schemas.openxmlformats.org/drawingml/2006/wordprocessingDrawing">
  <w:body>
    <w:p>
      <w:pPr>
        <w:pStyle w:val="Title"/>
      </w:pPr>
      <w:r>
        <w:t xml:space="preserve">Grønlandspumpen — NV-udgave</w:t>
      </w:r>
    </w:p>
    <w:p>
      <w:pPr>
        <w:pStyle w:val="Subtitle"/>
      </w:pPr>
      <w:r>
        <w:t xml:space="preserve">Temperatur, salt og den termohaline cirkulation i ét kar</w:t>
      </w:r>
    </w:p>
    <w:p>
      <w:pPr>
        <w:pStyle w:val="FirstParagraph"/>
      </w:pPr>
      <w:r>
        <w:rPr>
          <w:b/>
          <w:bCs/>
        </w:rPr>
        <w:t xml:space="preserve">Dato:</w:t>
      </w:r>
      <w:r>
        <w:t xml:space="preserve"> </w:t>
      </w:r>
      <w:r>
        <w:t xml:space="preserve">____________________     </w:t>
      </w:r>
      <w:r>
        <w:t xml:space="preserve"> </w:t>
      </w:r>
      <w:r>
        <w:rPr>
          <w:b/>
          <w:bCs/>
        </w:rPr>
        <w:t xml:space="preserve">Gruppe / navne:</w:t>
      </w:r>
      <w:r>
        <w:t xml:space="preserve"> </w:t>
      </w:r>
      <w:r>
        <w:t xml:space="preserve">________________________________________</w:t>
      </w:r>
    </w:p>
    <w:bookmarkStart w:id="19" w:name="om-øvelsen"/>
    <w:p>
      <w:pPr>
        <w:pStyle w:val="Heading2"/>
      </w:pPr>
      <w:r>
        <w:t xml:space="preserve">Om øvelsen</w:t>
      </w:r>
    </w:p>
    <w:p>
      <w:pPr>
        <w:pStyle w:val="FirstParagraph"/>
      </w:pPr>
      <w:r>
        <w:t xml:space="preserve">Danmark ligger på samme breddegrad som Labrador i Canada, men har langt mildere vintre. En vigtig del af forklaringen er Golfstrømmen og dens forlængelse, som fører varmt overfladevand op mod Nordvesteuropa. Strømmen drives mest af vinden og Jordens rotation, men den forstærkes af Grønlandspumpen: ude ved Grønland afgiver havvandet sin varme til luften, bliver koldt og tungt og synker til bunds. Så trækkes der nyt, varmt overfladevand nordpå.</w:t>
      </w:r>
    </w:p>
    <w:p>
      <w:pPr>
        <w:pStyle w:val="BodyText"/>
      </w:pPr>
      <w:r>
        <w:t xml:space="preserve">I denne øvelse undersøger I først, hvad temperatur og saltindhold hver for sig betyder for vandets bevægelse. Derefter bygger I hele pumpen i ét kar med is i den ene ende og varme i den anden. Til sidst skal I bruge resultaterne til at forklare, hvordan klimaforandringer i Arktis kan svække strømmen.</w:t>
      </w:r>
    </w:p>
    <w:bookmarkEnd w:id="19"/>
    <w:bookmarkStart w:id="35" w:name="baggrund"/>
    <w:p>
      <w:pPr>
        <w:pStyle w:val="Heading2"/>
      </w:pPr>
      <w:r>
        <w:t xml:space="preserve">Baggrund</w:t>
      </w:r>
    </w:p>
    <w:p>
      <w:pPr>
        <w:pStyle w:val="FirstParagraph"/>
      </w:pPr>
      <w:r>
        <w:t xml:space="preserve">Vandets densitet er massen pr. rumfang:</w:t>
      </w:r>
    </w:p>
    <w:p>
      <w:pPr>
        <w:pStyle w:val="BodyText"/>
      </w:pPr>
      <m:oMathPara>
        <m:oMathParaPr>
          <m:jc m:val="center"/>
        </m:oMathParaPr>
        <m:oMath>
          <m:r>
            <m:t>ρ</m:t>
          </m:r>
          <m:r>
            <m:rPr>
              <m:sty m:val="p"/>
            </m:rPr>
            <m:t>=</m:t>
          </m:r>
          <m:f>
            <m:fPr>
              <m:type m:val="bar"/>
            </m:fPr>
            <m:num>
              <m:r>
                <m:t>m</m:t>
              </m:r>
            </m:num>
            <m:den>
              <m:r>
                <m:t>V</m:t>
              </m:r>
            </m:den>
          </m:f>
        </m:oMath>
      </m:oMathPara>
    </w:p>
    <w:p>
      <w:pPr>
        <w:pStyle w:val="FirstParagraph"/>
      </w:pPr>
      <w:r>
        <w:t xml:space="preserve">Koldt vand har højere densitet end varmt vand, og salt vand har højere densitet end ferskvand:</w:t>
      </w:r>
    </w:p>
    <w:tbl>
      <w:tblPr>
        <w:tblStyle w:val="Table"/>
        <w:tblW w:type="pct" w:w="5000"/>
        <w:tblLayout w:type="fixed"/>
        <w:tblLook w:firstRow="0" w:lastRow="0" w:firstColumn="0" w:lastColumn="0" w:noHBand="0" w:noVBand="0" w:val="0000"/>
      </w:tblPr>
      <w:tblGrid>
        <w:gridCol w:w="7920"/>
      </w:tblGrid>
      <w:tr>
        <w:tc>
          <w:tcPr/>
          <w:bookmarkStart w:id="24" w:name="fig-densitet"/>
          <w:p>
            <w:pPr>
              <w:pStyle w:val="Compact"/>
              <w:jc w:val="center"/>
            </w:pPr>
            <w:r>
              <w:drawing>
                <wp:inline>
                  <wp:extent cx="5608320" cy="1577340"/>
                  <wp:effectExtent b="0" l="0" r="0" t="0"/>
                  <wp:docPr descr="" title="" id="21" name="Picture"/>
                  <a:graphic>
                    <a:graphicData uri="http://schemas.openxmlformats.org/drawingml/2006/picture">
                      <pic:pic>
                        <pic:nvPicPr>
                          <pic:cNvPr descr="figurer/densitet.svg" id="22" name="Picture"/>
                          <pic:cNvPicPr>
                            <a:picLocks noChangeArrowheads="1" noChangeAspect="1"/>
                          </pic:cNvPicPr>
                        </pic:nvPicPr>
                        <pic:blipFill>
                          <a:blip r:embed="rId23">
                            <a:extLst>
                              <a:ext uri="{28A0092B-C50C-407E-A947-70E740481C1C}">
                                <ns6:useLocalDpi val="0"/>
                              </a:ext>
                              <a:ext uri="{96DAC541-7B7A-43D3-8B79-37D633B846F1}">
                                <ns7:svgBlip r:embed="rId20"/>
                              </a:ext>
                            </a:extLst>
                          </a:blip>
                          <a:stretch>
                            <a:fillRect/>
                          </a:stretch>
                        </pic:blipFill>
                        <pic:spPr bwMode="auto">
                          <a:xfrm>
                            <a:off x="0" y="0"/>
                            <a:ext cx="5608320" cy="1577340"/>
                          </a:xfrm>
                          <a:prstGeom prst="rect">
                            <a:avLst/>
                          </a:prstGeom>
                          <a:noFill/>
                          <a:ln w="9525">
                            <a:noFill/>
                            <a:headEnd/>
                            <a:tailEnd/>
                          </a:ln>
                        </pic:spPr>
                      </pic:pic>
                    </a:graphicData>
                  </a:graphic>
                </wp:inline>
              </w:drawing>
            </w:r>
          </w:p>
          <w:p>
            <w:pPr>
              <w:jc w:val="center"/>
            </w:pPr>
            <w:pPr>
              <w:jc w:val="left"/>
              <w:spacing w:before="200"/>
              <w:pStyle w:val="ImageCaption"/>
            </w:pPr>
            <w:r>
              <w:t xml:space="preserve">Figur 1: Koldt vand er tungere end varmt, og salt vand er tungere end fersk. Det tungeste vand i Nordatlanten er derfor det, der er både iskoldt og ekstra salt.</w:t>
            </w:r>
          </w:p>
          <w:bookmarkEnd w:id="24"/>
        </w:tc>
      </w:tr>
    </w:tbl>
    <w:p>
      <w:pPr>
        <w:pStyle w:val="BodyText"/>
      </w:pPr>
      <w:r>
        <w:t xml:space="preserve">Når havis dannes, bygges saltet ikke ind i isen. Det efterlades i vandet under isen, som derfor bliver ekstra tungt:</w:t>
      </w:r>
    </w:p>
    <w:tbl>
      <w:tblPr>
        <w:tblStyle w:val="Table"/>
        <w:tblW w:type="pct" w:w="5000"/>
        <w:tblLayout w:type="fixed"/>
        <w:tblLook w:firstRow="0" w:lastRow="0" w:firstColumn="0" w:lastColumn="0" w:noHBand="0" w:noVBand="0" w:val="0000"/>
      </w:tblPr>
      <w:tblGrid>
        <w:gridCol w:w="7920"/>
      </w:tblGrid>
      <w:tr>
        <w:tc>
          <w:tcPr/>
          <w:bookmarkStart w:id="29" w:name="fig-havis"/>
          <w:p>
            <w:pPr>
              <w:pStyle w:val="Compact"/>
              <w:jc w:val="center"/>
            </w:pPr>
            <w:r>
              <w:drawing>
                <wp:inline>
                  <wp:extent cx="6096000" cy="2381250"/>
                  <wp:effectExtent b="0" l="0" r="0" t="0"/>
                  <wp:docPr descr="" title="" id="26" name="Picture"/>
                  <a:graphic>
                    <a:graphicData uri="http://schemas.openxmlformats.org/drawingml/2006/picture">
                      <pic:pic>
                        <pic:nvPicPr>
                          <pic:cNvPr descr="figurer/havis.svg" id="27" name="Picture"/>
                          <pic:cNvPicPr>
                            <a:picLocks noChangeArrowheads="1" noChangeAspect="1"/>
                          </pic:cNvPicPr>
                        </pic:nvPicPr>
                        <pic:blipFill>
                          <a:blip r:embed="rId28">
                            <a:extLst>
                              <a:ext uri="{28A0092B-C50C-407E-A947-70E740481C1C}">
                                <ns6:useLocalDpi val="0"/>
                              </a:ext>
                              <a:ext uri="{96DAC541-7B7A-43D3-8B79-37D633B846F1}">
                                <ns7:svgBlip r:embed="rId25"/>
                              </a:ext>
                            </a:extLst>
                          </a:blip>
                          <a:stretch>
                            <a:fillRect/>
                          </a:stretch>
                        </pic:blipFill>
                        <pic:spPr bwMode="auto">
                          <a:xfrm>
                            <a:off x="0" y="0"/>
                            <a:ext cx="6096000" cy="2381250"/>
                          </a:xfrm>
                          <a:prstGeom prst="rect">
                            <a:avLst/>
                          </a:prstGeom>
                          <a:noFill/>
                          <a:ln w="9525">
                            <a:noFill/>
                            <a:headEnd/>
                            <a:tailEnd/>
                          </a:ln>
                        </pic:spPr>
                      </pic:pic>
                    </a:graphicData>
                  </a:graphic>
                </wp:inline>
              </w:drawing>
            </w:r>
          </w:p>
          <w:p>
            <w:pPr>
              <w:jc w:val="center"/>
            </w:pPr>
            <w:pPr>
              <w:jc w:val="left"/>
              <w:spacing w:before="200"/>
              <w:pStyle w:val="ImageCaption"/>
            </w:pPr>
            <w:r>
              <w:t xml:space="preserve">Figur 2: Når havis dannes, efterlades saltet i vandet nedenunder. Det vand er både iskoldt og ekstra salt og bliver dermed det tungeste vand i Nordatlanten.</w:t>
            </w:r>
          </w:p>
          <w:bookmarkEnd w:id="29"/>
        </w:tc>
      </w:tr>
    </w:tbl>
    <w:p>
      <w:pPr>
        <w:pStyle w:val="BodyText"/>
      </w:pPr>
      <w:r>
        <w:t xml:space="preserve">Det tunge vand synker til bunds og løber sydpå som nordatlantisk dybvand. Når noget synker, må noget andet strømme ind i stedet. Det er Golfstrømmen og dens forlængelse, der fører varmt overfladevand nordpå igen. Hele kredsløbet kaldes den termohaline cirkulation —</w:t>
      </w:r>
      <w:r>
        <w:t xml:space="preserve"> </w:t>
      </w:r>
      <w:r>
        <w:rPr>
          <w:i/>
          <w:iCs/>
        </w:rPr>
        <w:t xml:space="preserve">termo</w:t>
      </w:r>
      <w:r>
        <w:t xml:space="preserve"> </w:t>
      </w:r>
      <w:r>
        <w:t xml:space="preserve">for temperatur og</w:t>
      </w:r>
      <w:r>
        <w:t xml:space="preserve"> </w:t>
      </w:r>
      <w:r>
        <w:rPr>
          <w:i/>
          <w:iCs/>
        </w:rPr>
        <w:t xml:space="preserve">halin</w:t>
      </w:r>
      <w:r>
        <w:t xml:space="preserve"> </w:t>
      </w:r>
      <w:r>
        <w:t xml:space="preserve">for salt.</w:t>
      </w:r>
    </w:p>
    <w:tbl>
      <w:tblPr>
        <w:tblStyle w:val="Table"/>
        <w:tblW w:type="pct" w:w="5000"/>
        <w:tblLayout w:type="fixed"/>
        <w:tblLook w:firstRow="0" w:lastRow="0" w:firstColumn="0" w:lastColumn="0" w:noHBand="0" w:noVBand="0" w:val="0000"/>
      </w:tblPr>
      <w:tblGrid>
        <w:gridCol w:w="7920"/>
      </w:tblGrid>
      <w:tr>
        <w:tc>
          <w:tcPr/>
          <w:bookmarkStart w:id="34" w:name="fig-pumpen"/>
          <w:p>
            <w:pPr>
              <w:pStyle w:val="Compact"/>
              <w:jc w:val="center"/>
            </w:pPr>
            <w:r>
              <w:drawing>
                <wp:inline>
                  <wp:extent cx="6096000" cy="3009900"/>
                  <wp:effectExtent b="0" l="0" r="0" t="0"/>
                  <wp:docPr descr="" title="" id="31" name="Picture"/>
                  <a:graphic>
                    <a:graphicData uri="http://schemas.openxmlformats.org/drawingml/2006/picture">
                      <pic:pic>
                        <pic:nvPicPr>
                          <pic:cNvPr descr="figurer/pumpen.svg" id="32" name="Picture"/>
                          <pic:cNvPicPr>
                            <a:picLocks noChangeArrowheads="1" noChangeAspect="1"/>
                          </pic:cNvPicPr>
                        </pic:nvPicPr>
                        <pic:blipFill>
                          <a:blip r:embed="rId33">
                            <a:extLst>
                              <a:ext uri="{28A0092B-C50C-407E-A947-70E740481C1C}">
                                <ns6:useLocalDpi val="0"/>
                              </a:ext>
                              <a:ext uri="{96DAC541-7B7A-43D3-8B79-37D633B846F1}">
                                <ns7:svgBlip r:embed="rId30"/>
                              </a:ext>
                            </a:extLst>
                          </a:blip>
                          <a:stretch>
                            <a:fillRect/>
                          </a:stretch>
                        </pic:blipFill>
                        <pic:spPr bwMode="auto">
                          <a:xfrm>
                            <a:off x="0" y="0"/>
                            <a:ext cx="6096000" cy="3009900"/>
                          </a:xfrm>
                          <a:prstGeom prst="rect">
                            <a:avLst/>
                          </a:prstGeom>
                          <a:noFill/>
                          <a:ln w="9525">
                            <a:noFill/>
                            <a:headEnd/>
                            <a:tailEnd/>
                          </a:ln>
                        </pic:spPr>
                      </pic:pic>
                    </a:graphicData>
                  </a:graphic>
                </wp:inline>
              </w:drawing>
            </w:r>
          </w:p>
          <w:p>
            <w:pPr>
              <w:jc w:val="center"/>
            </w:pPr>
            <w:pPr>
              <w:jc w:val="left"/>
              <w:spacing w:before="200"/>
              <w:pStyle w:val="ImageCaption"/>
            </w:pPr>
            <w:r>
              <w:t xml:space="preserve">Figur 3: Den termohaline cirkulation i Nordatlanten. Varmt overfladevand føres nordpå, bliver koldt ved Grønland, synker og løber sydpå langs bunden.</w:t>
            </w:r>
          </w:p>
          <w:bookmarkEnd w:id="34"/>
        </w:tc>
      </w:tr>
    </w:tbl>
    <w:bookmarkEnd w:id="35"/>
    <w:bookmarkStart w:id="42" w:name="hypotese"/>
    <w:p>
      <w:pPr>
        <w:pStyle w:val="Heading2"/>
      </w:pPr>
      <w:r>
        <w:t xml:space="preserve">Hypotese</w:t>
      </w:r>
    </w:p>
    <w:p>
      <w:pPr>
        <w:pStyle w:val="FirstParagraph"/>
      </w:pPr>
      <w:r>
        <w:t xml:space="preserve">Skriv jeres bud, inden I går i gang, og begrund dem med densitet.</w:t>
      </w:r>
    </w:p>
    <w:p>
      <w:pPr>
        <w:pStyle w:val="Compact"/>
        <w:numPr>
          <w:ilvl w:val="0"/>
          <w:numId w:val="1001"/>
        </w:numPr>
      </w:pPr>
      <w:r>
        <w:t xml:space="preserve">Hvad sker der, når koldt vand møder varmt vand?</w:t>
      </w:r>
    </w:p>
    <w:p>
      <w:pPr>
        <w:pStyle w:val="Compact"/>
        <w:numPr>
          <w:ilvl w:val="0"/>
          <w:numId w:val="1001"/>
        </w:numPr>
      </w:pPr>
      <w:r>
        <w:t xml:space="preserve">Hvad sker der, når ferskvand møder saltvand?</w:t>
      </w:r>
    </w:p>
    <w:p>
      <w:pPr>
        <w:pStyle w:val="Compact"/>
        <w:numPr>
          <w:ilvl w:val="0"/>
          <w:numId w:val="1001"/>
        </w:numPr>
      </w:pPr>
      <w:r>
        <w:t xml:space="preserve">Hvordan kan der opstå en cirkulation i karret, når is og varme bruges på samme tid? Tegn med pile på</w:t>
      </w:r>
      <w:r>
        <w:t xml:space="preserve"> </w:t>
      </w:r>
      <w:hyperlink w:anchor="fig-opstilling">
        <w:r>
          <w:rPr>
            <w:rStyle w:val="Hyperlink"/>
          </w:rPr>
          <w:t xml:space="preserve">Figur 4</w:t>
        </w:r>
      </w:hyperlink>
      <w:r>
        <w:t xml:space="preserve">, hvor I tror, vandet vil løbe.</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keepNext/>
            </w:pPr>
            <w:pPr>
              <w:spacing w:before="0" w:after="0"/>
              <w:textAlignment w:val="center"/>
            </w:pPr>
            <w:r>
              <w:drawing>
                <wp:inline>
                  <wp:extent cx="152400" cy="152400"/>
                  <wp:effectExtent b="0" l="0" r="0" t="0"/>
                  <wp:docPr descr="" title="" id="37" name="Picture"/>
                  <a:graphic>
                    <a:graphicData uri="http://schemas.openxmlformats.org/drawingml/2006/picture">
                      <pic:pic>
                        <pic:nvPicPr>
                          <pic:cNvPr descr="/Applications/quarto/share/formats/docx/important.png" id="38" name="Picture"/>
                          <pic:cNvPicPr>
                            <a:picLocks noChangeArrowheads="1" noChangeAspect="1"/>
                          </pic:cNvPicPr>
                        </pic:nvPicPr>
                        <pic:blipFill>
                          <a:blip r:embed="rId3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Sikkerhed</w:t>
            </w:r>
          </w:p>
        </w:tc>
      </w:tr>
      <w:tr>
        <w:trPr>
          <w:cantSplit/>
        </w:trPr>
        <w:tc>
          <w:tcPr>
            <w:tcMar>
              <w:top w:w="108" w:type="dxa"/>
              <w:bottom w:w="108" w:type="dxa"/>
            </w:tcMar>
          </w:tcPr>
          <w:p>
            <w:pPr>
              <w:pStyle w:val="BodyText"/>
            </w:pPr>
            <w:pPr>
              <w:spacing w:before="16" w:after="16"/>
            </w:pPr>
            <w:r>
              <w:t xml:space="preserve">Vandet i flasken må gerne være meget varmt. Pas på ikke at skolde jer, når flasken fyldes, og brug grydelapper, hvis den er for varm at holde på. Karret er skrøbeligt ved kanterne, så stil det ind på bordet, ikke ud mod kanten. Tør spildt vand op med det samme.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keepNext/>
            </w:pPr>
            <w:pPr>
              <w:spacing w:before="0" w:after="0"/>
              <w:textAlignment w:val="center"/>
            </w:pPr>
            <w:r>
              <w:drawing>
                <wp:inline>
                  <wp:extent cx="152400" cy="152400"/>
                  <wp:effectExtent b="0" l="0" r="0" t="0"/>
                  <wp:docPr descr="" title="" id="40" name="Picture"/>
                  <a:graphic>
                    <a:graphicData uri="http://schemas.openxmlformats.org/drawingml/2006/picture">
                      <pic:pic>
                        <pic:nvPicPr>
                          <pic:cNvPr descr="/Applications/quarto/share/formats/docx/note.png" id="41" name="Picture"/>
                          <pic:cNvPicPr>
                            <a:picLocks noChangeArrowheads="1" noChangeAspect="1"/>
                          </pic:cNvPicPr>
                        </pic:nvPicPr>
                        <pic:blipFill>
                          <a:blip r:embed="rId3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Materialer (pr. gruppe)</w:t>
            </w:r>
          </w:p>
        </w:tc>
      </w:tr>
      <w:tr>
        <w:trPr>
          <w:cantSplit/>
        </w:trPr>
        <w:tc>
          <w:tcPr>
            <w:tcMar>
              <w:top w:w="108" w:type="dxa"/>
              <w:bottom w:w="108" w:type="dxa"/>
            </w:tcMar>
          </w:tcPr>
          <w:p>
            <w:pPr>
              <w:pStyle w:val="Compact"/>
              <w:numPr>
                <w:ilvl w:val="0"/>
                <w:numId w:val="1002"/>
              </w:numPr>
            </w:pPr>
            <w:r>
              <w:t xml:space="preserve">Plexiglas-kar med skilleplade</w:t>
            </w:r>
          </w:p>
          <w:p>
            <w:pPr>
              <w:pStyle w:val="Compact"/>
              <w:numPr>
                <w:ilvl w:val="0"/>
                <w:numId w:val="1002"/>
              </w:numPr>
            </w:pPr>
            <w:r>
              <w:t xml:space="preserve">Isholderplade (med en lille udskæring, der skal vende nedad)</w:t>
            </w:r>
          </w:p>
          <w:p>
            <w:pPr>
              <w:pStyle w:val="Compact"/>
              <w:numPr>
                <w:ilvl w:val="0"/>
                <w:numId w:val="1002"/>
              </w:numPr>
            </w:pPr>
            <w:r>
              <w:t xml:space="preserve">Knust is</w:t>
            </w:r>
          </w:p>
          <w:p>
            <w:pPr>
              <w:pStyle w:val="Compact"/>
              <w:numPr>
                <w:ilvl w:val="0"/>
                <w:numId w:val="1002"/>
              </w:numPr>
            </w:pPr>
            <w:r>
              <w:t xml:space="preserve">Blue cap-flaske med varmt vand</w:t>
            </w:r>
          </w:p>
          <w:p>
            <w:pPr>
              <w:pStyle w:val="Compact"/>
              <w:numPr>
                <w:ilvl w:val="0"/>
                <w:numId w:val="1002"/>
              </w:numPr>
            </w:pPr>
            <w:r>
              <w:t xml:space="preserve">Frugtfarve, blå og rød</w:t>
            </w:r>
          </w:p>
          <w:p>
            <w:pPr>
              <w:pStyle w:val="Compact"/>
              <w:numPr>
                <w:ilvl w:val="0"/>
                <w:numId w:val="1002"/>
              </w:numPr>
            </w:pPr>
            <w:r>
              <w:t xml:space="preserve">Salt og en teske</w:t>
            </w:r>
          </w:p>
          <w:p>
            <w:pPr>
              <w:pStyle w:val="Compact"/>
              <w:numPr>
                <w:ilvl w:val="0"/>
                <w:numId w:val="1002"/>
              </w:numPr>
            </w:pPr>
            <w:r>
              <w:t xml:space="preserve">Lunkent og koldt vand</w:t>
            </w:r>
          </w:p>
          <w:p>
            <w:pPr>
              <w:pStyle w:val="Compact"/>
              <w:numPr>
                <w:ilvl w:val="0"/>
                <w:numId w:val="1002"/>
              </w:numPr>
            </w:pPr>
            <w:r>
              <w:t xml:space="preserve">Stopur og lineal</w:t>
            </w:r>
          </w:p>
          <w:p>
            <w:pPr>
              <w:pStyle w:val="Compact"/>
              <w:numPr>
                <w:ilvl w:val="0"/>
                <w:numId w:val="1002"/>
              </w:numPr>
            </w:pPr>
            <w:r>
              <w:t xml:space="preserve">Mobil til billeder</w:t>
            </w:r>
          </w:p>
          <w:p/>
        </w:tc>
      </w:tr>
    </w:tbl>
    <w:bookmarkEnd w:id="42"/>
    <w:bookmarkStart w:id="51" w:name="fremgangsmåde"/>
    <w:p>
      <w:pPr>
        <w:pStyle w:val="Heading2"/>
      </w:pPr>
      <w:r>
        <w:t xml:space="preserve">Fremgangsmåde</w:t>
      </w:r>
    </w:p>
    <w:bookmarkStart w:id="43" w:name="del-1-koldt-og-varmt-vand"/>
    <w:p>
      <w:pPr>
        <w:pStyle w:val="Heading3"/>
      </w:pPr>
      <w:r>
        <w:t xml:space="preserve">Del 1 — koldt og varmt vand</w:t>
      </w:r>
    </w:p>
    <w:p>
      <w:pPr>
        <w:pStyle w:val="Compact"/>
        <w:numPr>
          <w:ilvl w:val="0"/>
          <w:numId w:val="1003"/>
        </w:numPr>
      </w:pPr>
      <w:r>
        <w:t xml:space="preserve">Sæt skillepladen i midten af karret.</w:t>
      </w:r>
    </w:p>
    <w:p>
      <w:pPr>
        <w:pStyle w:val="Compact"/>
        <w:numPr>
          <w:ilvl w:val="0"/>
          <w:numId w:val="1003"/>
        </w:numPr>
      </w:pPr>
      <w:r>
        <w:t xml:space="preserve">Fyld varmt vand i den ene side og koldt vand i den anden, lige højt.</w:t>
      </w:r>
    </w:p>
    <w:p>
      <w:pPr>
        <w:pStyle w:val="Compact"/>
        <w:numPr>
          <w:ilvl w:val="0"/>
          <w:numId w:val="1003"/>
        </w:numPr>
      </w:pPr>
      <w:r>
        <w:t xml:space="preserve">Kom blå farve i den kolde side.</w:t>
      </w:r>
    </w:p>
    <w:p>
      <w:pPr>
        <w:pStyle w:val="Compact"/>
        <w:numPr>
          <w:ilvl w:val="0"/>
          <w:numId w:val="1003"/>
        </w:numPr>
      </w:pPr>
      <w:r>
        <w:t xml:space="preserve">Træk skillepladen forsigtigt lige op, og observér. Notér i</w:t>
      </w:r>
      <w:r>
        <w:t xml:space="preserve"> </w:t>
      </w:r>
      <w:hyperlink w:anchor="tbl-1">
        <w:r>
          <w:rPr>
            <w:rStyle w:val="Hyperlink"/>
          </w:rPr>
          <w:t xml:space="preserve">Tabel 1</w:t>
        </w:r>
      </w:hyperlink>
      <w:r>
        <w:t xml:space="preserve">.</w:t>
      </w:r>
    </w:p>
    <w:bookmarkEnd w:id="43"/>
    <w:bookmarkStart w:id="44" w:name="del-2-saltvand-og-ferskvand"/>
    <w:p>
      <w:pPr>
        <w:pStyle w:val="Heading3"/>
      </w:pPr>
      <w:r>
        <w:t xml:space="preserve">Del 2 — saltvand og ferskvand</w:t>
      </w:r>
    </w:p>
    <w:p>
      <w:pPr>
        <w:pStyle w:val="Compact"/>
        <w:numPr>
          <w:ilvl w:val="0"/>
          <w:numId w:val="1004"/>
        </w:numPr>
      </w:pPr>
      <w:r>
        <w:t xml:space="preserve">Tøm karret, sæt skillepladen i igen, og fyld begge sider med lunkent vand.</w:t>
      </w:r>
    </w:p>
    <w:p>
      <w:pPr>
        <w:pStyle w:val="Compact"/>
        <w:numPr>
          <w:ilvl w:val="0"/>
          <w:numId w:val="1004"/>
        </w:numPr>
      </w:pPr>
      <w:r>
        <w:t xml:space="preserve">Rør et par teskefulde salt og lidt rød farve ud i den ene side. Det er havsiden. Den anden side er ferskvand.</w:t>
      </w:r>
    </w:p>
    <w:p>
      <w:pPr>
        <w:pStyle w:val="Compact"/>
        <w:numPr>
          <w:ilvl w:val="0"/>
          <w:numId w:val="1004"/>
        </w:numPr>
      </w:pPr>
      <w:r>
        <w:t xml:space="preserve">Træk skillepladen forsigtigt op, og observér. Notér i</w:t>
      </w:r>
      <w:r>
        <w:t xml:space="preserve"> </w:t>
      </w:r>
      <w:hyperlink w:anchor="tbl-1">
        <w:r>
          <w:rPr>
            <w:rStyle w:val="Hyperlink"/>
          </w:rPr>
          <w:t xml:space="preserve">Tabel 1</w:t>
        </w:r>
      </w:hyperlink>
      <w:r>
        <w:t xml:space="preserve">.</w:t>
      </w:r>
    </w:p>
    <w:bookmarkEnd w:id="44"/>
    <w:bookmarkStart w:id="50" w:name="del-3-hele-pumpen"/>
    <w:p>
      <w:pPr>
        <w:pStyle w:val="Heading3"/>
      </w:pPr>
      <w:r>
        <w:t xml:space="preserve">Del 3 — hele pumpen</w:t>
      </w:r>
    </w:p>
    <w:p>
      <w:pPr>
        <w:pStyle w:val="Compact"/>
        <w:numPr>
          <w:ilvl w:val="0"/>
          <w:numId w:val="1005"/>
        </w:numPr>
      </w:pPr>
      <w:r>
        <w:t xml:space="preserve">Tøm karret, og tag skillepladen helt ud.</w:t>
      </w:r>
    </w:p>
    <w:p>
      <w:pPr>
        <w:pStyle w:val="Compact"/>
        <w:numPr>
          <w:ilvl w:val="0"/>
          <w:numId w:val="1005"/>
        </w:numPr>
      </w:pPr>
      <w:r>
        <w:t xml:space="preserve">Sæt isholderpladen i den ene ende, så udskæringen vender nedad (</w:t>
      </w:r>
      <w:hyperlink w:anchor="fig-opstilling">
        <w:r>
          <w:rPr>
            <w:rStyle w:val="Hyperlink"/>
          </w:rPr>
          <w:t xml:space="preserve">Figur 4</w:t>
        </w:r>
      </w:hyperlink>
      <w:r>
        <w:t xml:space="preserve">).</w:t>
      </w:r>
    </w:p>
    <w:p>
      <w:pPr>
        <w:pStyle w:val="Compact"/>
        <w:numPr>
          <w:ilvl w:val="0"/>
          <w:numId w:val="1005"/>
        </w:numPr>
      </w:pPr>
      <w:r>
        <w:t xml:space="preserve">Fyld karret med lunkent vand, til vandet står lige over isholderpladens nederste kant.</w:t>
      </w:r>
    </w:p>
    <w:p>
      <w:pPr>
        <w:pStyle w:val="Compact"/>
        <w:numPr>
          <w:ilvl w:val="0"/>
          <w:numId w:val="1005"/>
        </w:numPr>
      </w:pPr>
      <w:r>
        <w:t xml:space="preserve">Læg knust is på pladen, og dryp lidt blå farve ned på isen — ikke ned i karret.</w:t>
      </w:r>
    </w:p>
    <w:p>
      <w:pPr>
        <w:pStyle w:val="Compact"/>
        <w:numPr>
          <w:ilvl w:val="0"/>
          <w:numId w:val="1005"/>
        </w:numPr>
      </w:pPr>
      <w:r>
        <w:t xml:space="preserve">Stil flasken med varmt vand i den modsatte ende som varmekilde.</w:t>
      </w:r>
    </w:p>
    <w:p>
      <w:pPr>
        <w:pStyle w:val="Compact"/>
        <w:numPr>
          <w:ilvl w:val="0"/>
          <w:numId w:val="1005"/>
        </w:numPr>
      </w:pPr>
      <w:r>
        <w:t xml:space="preserve">Observér, hvad der sker med det blå vand, både ved bunden og ved overfladen. Tegn det, I ser, oven i jeres pile på</w:t>
      </w:r>
      <w:r>
        <w:t xml:space="preserve"> </w:t>
      </w:r>
      <w:hyperlink w:anchor="fig-opstilling">
        <w:r>
          <w:rPr>
            <w:rStyle w:val="Hyperlink"/>
          </w:rPr>
          <w:t xml:space="preserve">Figur 4</w:t>
        </w:r>
      </w:hyperlink>
      <w:r>
        <w:t xml:space="preserve"> </w:t>
      </w:r>
      <w:r>
        <w:t xml:space="preserve">med en anden farve.</w:t>
      </w:r>
    </w:p>
    <w:p>
      <w:pPr>
        <w:pStyle w:val="Compact"/>
        <w:numPr>
          <w:ilvl w:val="0"/>
          <w:numId w:val="1005"/>
        </w:numPr>
      </w:pPr>
      <w:r>
        <w:t xml:space="preserve">Mål med linealen, hvor langt der er langs bunden fra isholderpladen til flasken. Tag tid på, hvor længe det blå vand er om at nå den strækning. Skriv begge dele i</w:t>
      </w:r>
      <w:r>
        <w:t xml:space="preserve"> </w:t>
      </w:r>
      <w:hyperlink w:anchor="tbl-2">
        <w:r>
          <w:rPr>
            <w:rStyle w:val="Hyperlink"/>
          </w:rPr>
          <w:t xml:space="preserve">Tabel 2</w:t>
        </w:r>
      </w:hyperlink>
      <w:r>
        <w:t xml:space="preserve">.</w:t>
      </w:r>
    </w:p>
    <w:p>
      <w:pPr>
        <w:pStyle w:val="Compact"/>
        <w:numPr>
          <w:ilvl w:val="0"/>
          <w:numId w:val="1005"/>
        </w:numPr>
      </w:pPr>
      <w:r>
        <w:t xml:space="preserve">Tag billeder af opstillingen og af resultatet.</w:t>
      </w:r>
    </w:p>
    <w:tbl>
      <w:tblPr>
        <w:tblStyle w:val="Table"/>
        <w:tblW w:type="pct" w:w="5000"/>
        <w:tblLayout w:type="fixed"/>
        <w:tblLook w:firstRow="0" w:lastRow="0" w:firstColumn="0" w:lastColumn="0" w:noHBand="0" w:noVBand="0" w:val="0000"/>
      </w:tblPr>
      <w:tblGrid>
        <w:gridCol w:w="7920"/>
      </w:tblGrid>
      <w:tr>
        <w:tc>
          <w:tcPr/>
          <w:bookmarkStart w:id="49" w:name="fig-opstilling"/>
          <w:p>
            <w:pPr>
              <w:pStyle w:val="Compact"/>
              <w:jc w:val="center"/>
            </w:pPr>
            <w:r>
              <w:drawing>
                <wp:inline>
                  <wp:extent cx="6096000" cy="2247900"/>
                  <wp:effectExtent b="0" l="0" r="0" t="0"/>
                  <wp:docPr descr="" title="" id="46" name="Picture"/>
                  <a:graphic>
                    <a:graphicData uri="http://schemas.openxmlformats.org/drawingml/2006/picture">
                      <pic:pic>
                        <pic:nvPicPr>
                          <pic:cNvPr descr="figurer/opstilling.svg" id="47" name="Picture"/>
                          <pic:cNvPicPr>
                            <a:picLocks noChangeArrowheads="1" noChangeAspect="1"/>
                          </pic:cNvPicPr>
                        </pic:nvPicPr>
                        <pic:blipFill>
                          <a:blip r:embed="rId48">
                            <a:extLst>
                              <a:ext uri="{28A0092B-C50C-407E-A947-70E740481C1C}">
                                <ns6:useLocalDpi val="0"/>
                              </a:ext>
                              <a:ext uri="{96DAC541-7B7A-43D3-8B79-37D633B846F1}">
                                <ns7:svgBlip r:embed="rId45"/>
                              </a:ext>
                            </a:extLst>
                          </a:blip>
                          <a:stretch>
                            <a:fillRect/>
                          </a:stretch>
                        </pic:blipFill>
                        <pic:spPr bwMode="auto">
                          <a:xfrm>
                            <a:off x="0" y="0"/>
                            <a:ext cx="6096000" cy="2247900"/>
                          </a:xfrm>
                          <a:prstGeom prst="rect">
                            <a:avLst/>
                          </a:prstGeom>
                          <a:noFill/>
                          <a:ln w="9525">
                            <a:noFill/>
                            <a:headEnd/>
                            <a:tailEnd/>
                          </a:ln>
                        </pic:spPr>
                      </pic:pic>
                    </a:graphicData>
                  </a:graphic>
                </wp:inline>
              </w:drawing>
            </w:r>
          </w:p>
          <w:p>
            <w:pPr>
              <w:jc w:val="center"/>
            </w:pPr>
            <w:pPr>
              <w:jc w:val="left"/>
              <w:spacing w:before="200"/>
              <w:pStyle w:val="ImageCaption"/>
            </w:pPr>
            <w:r>
              <w:t xml:space="preserve">Figur 4: Opstillingen til Del 3. Isholderpladen sidder skråt i den ene ende med udskæringen nedad. Flasken med varmt vand står i den anden ende.</w:t>
            </w:r>
          </w:p>
          <w:bookmarkEnd w:id="49"/>
        </w:tc>
      </w:tr>
    </w:tbl>
    <w:bookmarkEnd w:id="50"/>
    <w:bookmarkEnd w:id="51"/>
    <w:bookmarkStart w:id="54" w:name="registrering-af-målinger"/>
    <w:p>
      <w:pPr>
        <w:pStyle w:val="Heading2"/>
      </w:pPr>
      <w:r>
        <w:t xml:space="preserve">Registrering af målinger</w:t>
      </w:r>
    </w:p>
    <w:tbl>
      <w:tblPr>
        <w:tblStyle w:val="Table"/>
        <w:tblW w:type="pct" w:w="5000"/>
        <w:tblLayout w:type="fixed"/>
        <w:tblLook w:firstRow="0" w:lastRow="0" w:firstColumn="0" w:lastColumn="0" w:noHBand="0" w:noVBand="0" w:val="0000"/>
      </w:tblPr>
      <w:tblGrid>
        <w:gridCol w:w="7920"/>
      </w:tblGrid>
      <w:tr>
        <w:tc>
          <w:tcPr/>
          <w:bookmarkStart w:id="52" w:name="tbl-1"/>
          <w:p>
            <w:pPr>
              <w:jc w:val="center"/>
            </w:pPr>
            <w:pPr>
              <w:jc w:val="left"/>
              <w:spacing w:before="200"/>
              <w:pStyle w:val="ImageCaption"/>
            </w:pPr>
            <w:r>
              <w:t xml:space="preserve">Tabel 1: Observationer fra de tre delforsøg.</w:t>
            </w:r>
          </w:p>
          <w:tbl>
            <w:tblPr>
              <w:tblStyle w:val="Table"/>
              <w:tblW w:type="pct" w:w="5000"/>
              <w:tblLayout w:type="fixed"/>
              <w:tblLook w:firstRow="1" w:lastRow="0" w:firstColumn="0" w:lastColumn="0" w:noHBand="0" w:noVBand="0" w:val="0020"/>
            </w:tblPr>
            <w:tblGrid>
              <w:gridCol w:w="2028"/>
              <w:gridCol w:w="5891"/>
            </w:tblGrid>
            <w:tr>
              <w:trPr>
                <w:cantSplit/>
                <w:tblHeader w:val="on"/>
              </w:trPr>
              <w:tc>
                <w:tcPr/>
                <w:p>
                  <w:pPr>
                    <w:pStyle w:val="Compact"/>
                    <w:keepNext/>
                    <w:jc w:val="left"/>
                    <w:jc w:val="center"/>
                  </w:pPr>
                  <w:r>
                    <w:t xml:space="preserve">Delforsøg</w:t>
                  </w:r>
                </w:p>
              </w:tc>
              <w:tc>
                <w:tcPr/>
                <w:p>
                  <w:pPr>
                    <w:pStyle w:val="Compact"/>
                    <w:keepNext/>
                    <w:jc w:val="left"/>
                    <w:jc w:val="center"/>
                  </w:pPr>
                  <w:r>
                    <w:t xml:space="preserve">Hvad så I? (kvalitativ observation)</w:t>
                  </w:r>
                </w:p>
              </w:tc>
            </w:tr>
            <w:tr>
              <w:trPr>
                <w:cantSplit/>
              </w:trPr>
              <w:tc>
                <w:tcPr/>
                <w:p>
                  <w:pPr>
                    <w:pStyle w:val="Compact"/>
                    <w:keepNext/>
                    <w:jc w:val="left"/>
                    <w:jc w:val="center"/>
                  </w:pPr>
                  <w:r>
                    <w:t xml:space="preserve">Del 1: koldt og varmt vand</w:t>
                  </w:r>
                </w:p>
              </w:tc>
              <w:tc>
                <w:tcPr/>
                <w:p>
                  <w:pPr>
                    <w:pStyle w:val="Compact"/>
                    <w:keepNext/>
                    <w:jc w:val="left"/>
                    <w:jc w:val="center"/>
                  </w:pPr>
                </w:p>
              </w:tc>
            </w:tr>
            <w:tr>
              <w:trPr>
                <w:cantSplit/>
              </w:trPr>
              <w:tc>
                <w:tcPr/>
                <w:p>
                  <w:pPr>
                    <w:pStyle w:val="Compact"/>
                    <w:keepNext/>
                    <w:jc w:val="left"/>
                    <w:jc w:val="center"/>
                  </w:pPr>
                  <w:r>
                    <w:t xml:space="preserve">Del 2: saltvand og ferskvand</w:t>
                  </w:r>
                </w:p>
              </w:tc>
              <w:tc>
                <w:tcPr/>
                <w:p>
                  <w:pPr>
                    <w:pStyle w:val="Compact"/>
                    <w:keepNext/>
                    <w:jc w:val="left"/>
                    <w:jc w:val="center"/>
                  </w:pPr>
                </w:p>
              </w:tc>
            </w:tr>
            <w:tr>
              <w:trPr>
                <w:cantSplit/>
              </w:trPr>
              <w:tc>
                <w:tcPr/>
                <w:p>
                  <w:pPr>
                    <w:pStyle w:val="Compact"/>
                    <w:jc w:val="left"/>
                    <w:jc w:val="center"/>
                  </w:pPr>
                  <w:r>
                    <w:t xml:space="preserve">Del 3: hele pumpen</w:t>
                  </w:r>
                </w:p>
              </w:tc>
              <w:tc>
                <w:tcPr/>
                <w:p>
                  <w:pPr>
                    <w:pStyle w:val="Compact"/>
                    <w:jc w:val="left"/>
                    <w:jc w:val="center"/>
                  </w:pPr>
                </w:p>
              </w:tc>
            </w:tr>
          </w:tbl>
          <w:bookmarkEnd w:id="52"/>
          <w:p/>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53" w:name="tbl-2"/>
          <w:p>
            <w:pPr>
              <w:jc w:val="center"/>
            </w:pPr>
            <w:pPr>
              <w:jc w:val="left"/>
              <w:spacing w:before="200"/>
              <w:pStyle w:val="ImageCaption"/>
            </w:pPr>
            <w:r>
              <w:t xml:space="preserve">Tabel 2: Rådata: det blå vands vej langs bunden i Del 3.</w:t>
            </w:r>
          </w:p>
          <w:tbl>
            <w:tblPr>
              <w:tblStyle w:val="Table"/>
              <w:tblW w:type="auto" w:w="0"/>
              <w:tblLook w:firstRow="1" w:lastRow="0" w:firstColumn="0" w:lastColumn="0" w:noHBand="0" w:noVBand="0" w:val="0020"/>
            </w:tblPr>
            <w:tblGrid>
              <w:gridCol w:w="3960"/>
              <w:gridCol w:w="3960"/>
            </w:tblGrid>
            <w:tr>
              <w:trPr>
                <w:cantSplit/>
                <w:tblHeader w:val="on"/>
              </w:trPr>
              <w:tc>
                <w:tcPr/>
                <w:p>
                  <w:pPr>
                    <w:pStyle w:val="Compact"/>
                    <w:keepNext/>
                    <w:jc w:val="center"/>
                    <w:jc w:val="center"/>
                  </w:pPr>
                  <w:r>
                    <w:t xml:space="preserve">Strækning langs bunden</w:t>
                  </w:r>
                  <w:r>
                    <w:t xml:space="preserve"> </w:t>
                  </w:r>
                  <m:oMath>
                    <m:r>
                      <m:t>s</m:t>
                    </m:r>
                  </m:oMath>
                  <w:r>
                    <w:t xml:space="preserve"> </w:t>
                  </w:r>
                  <w:r>
                    <w:t xml:space="preserve">(cm)</w:t>
                  </w:r>
                </w:p>
              </w:tc>
              <w:tc>
                <w:tcPr/>
                <w:p>
                  <w:pPr>
                    <w:pStyle w:val="Compact"/>
                    <w:keepNext/>
                    <w:jc w:val="center"/>
                    <w:jc w:val="center"/>
                  </w:pPr>
                  <w:r>
                    <w:t xml:space="preserve">Tid</w:t>
                  </w:r>
                  <w:r>
                    <w:t xml:space="preserve"> </w:t>
                  </w:r>
                  <m:oMath>
                    <m:r>
                      <m:t>t</m:t>
                    </m:r>
                  </m:oMath>
                  <w:r>
                    <w:t xml:space="preserve"> </w:t>
                  </w:r>
                  <w:r>
                    <w:t xml:space="preserve">(s)</w:t>
                  </w:r>
                </w:p>
              </w:tc>
            </w:tr>
            <w:tr>
              <w:trPr>
                <w:cantSplit/>
              </w:trPr>
              <w:tc>
                <w:tcPr/>
                <w:p>
                  <w:pPr>
                    <w:pStyle w:val="Compact"/>
                  </w:pPr>
                </w:p>
              </w:tc>
              <w:tc>
                <w:tcPr/>
                <w:p>
                  <w:pPr>
                    <w:pStyle w:val="Compact"/>
                  </w:pPr>
                </w:p>
              </w:tc>
            </w:tr>
          </w:tbl>
          <w:bookmarkEnd w:id="53"/>
          <w:p/>
        </w:tc>
      </w:tr>
    </w:tbl>
    <w:bookmarkEnd w:id="54"/>
    <w:bookmarkStart w:id="55" w:name="databehandling"/>
    <w:p>
      <w:pPr>
        <w:pStyle w:val="Heading2"/>
      </w:pPr>
      <w:r>
        <w:t xml:space="preserve">Databehandling</w:t>
      </w:r>
    </w:p>
    <w:p>
      <w:pPr>
        <w:pStyle w:val="Compact"/>
        <w:numPr>
          <w:ilvl w:val="0"/>
          <w:numId w:val="1006"/>
        </w:numPr>
      </w:pPr>
      <w:r>
        <w:t xml:space="preserve">Beregn bundstrømmens fart i karret:</w:t>
      </w:r>
    </w:p>
    <w:p>
      <w:pPr>
        <w:pStyle w:val="FirstParagraph"/>
      </w:pPr>
      <m:oMathPara>
        <m:oMathParaPr>
          <m:jc m:val="center"/>
        </m:oMathParaPr>
        <m:oMath>
          <m:r>
            <m:t>v</m:t>
          </m:r>
          <m:r>
            <m:rPr>
              <m:sty m:val="p"/>
            </m:rPr>
            <m:t>=</m:t>
          </m:r>
          <m:f>
            <m:fPr>
              <m:type m:val="bar"/>
            </m:fPr>
            <m:num>
              <m:r>
                <m:t>s</m:t>
              </m:r>
            </m:num>
            <m:den>
              <m:r>
                <m:t>t</m:t>
              </m:r>
            </m:den>
          </m:f>
        </m:oMath>
      </m:oMathPara>
    </w:p>
    <w:p>
      <w:pPr>
        <w:pStyle w:val="Compact"/>
        <w:numPr>
          <w:ilvl w:val="0"/>
          <w:numId w:val="1007"/>
        </w:numPr>
      </w:pPr>
      <w:r>
        <w:t xml:space="preserve">Den nordatlantiske dybvandsstrøm bevæger sig typisk nogle få centimeter i sekundet. Sammenlign med jeres resultat.</w:t>
      </w:r>
    </w:p>
    <w:bookmarkEnd w:id="55"/>
    <w:bookmarkStart w:id="56" w:name="journalspørgsmål"/>
    <w:p>
      <w:pPr>
        <w:pStyle w:val="Heading2"/>
      </w:pPr>
      <w:r>
        <w:t xml:space="preserve">Journalspørgsmål</w:t>
      </w:r>
    </w:p>
    <w:p>
      <w:pPr>
        <w:pStyle w:val="Compact"/>
        <w:numPr>
          <w:ilvl w:val="0"/>
          <w:numId w:val="1008"/>
        </w:numPr>
      </w:pPr>
      <w:r>
        <w:t xml:space="preserve">Forklar med begreberne densitet og temperatur, hvorfor det kolde vand synker ved isen, og hvorfor det varme vand stiger ved flasken.</w:t>
      </w:r>
    </w:p>
    <w:p>
      <w:pPr>
        <w:pStyle w:val="Compact"/>
        <w:numPr>
          <w:ilvl w:val="0"/>
          <w:numId w:val="1008"/>
        </w:numPr>
      </w:pPr>
      <w:r>
        <w:t xml:space="preserve">Sammenlign Del 1 og Del 2. Hvad var mest effektivt til at få vandet til at bevæge sig: temperaturforskellen eller saltforskellen?</w:t>
      </w:r>
    </w:p>
    <w:p>
      <w:pPr>
        <w:pStyle w:val="Compact"/>
        <w:numPr>
          <w:ilvl w:val="0"/>
          <w:numId w:val="1008"/>
        </w:numPr>
      </w:pPr>
      <w:r>
        <w:t xml:space="preserve">Hvordan minder cirkulationen i karret om dybvandsdannelsen ved Grønland? Nævn mindst to måder, modellen er en forenkling af virkeligheden på.</w:t>
      </w:r>
    </w:p>
    <w:p>
      <w:pPr>
        <w:pStyle w:val="Compact"/>
        <w:numPr>
          <w:ilvl w:val="0"/>
          <w:numId w:val="1008"/>
        </w:numPr>
      </w:pPr>
      <w:r>
        <w:t xml:space="preserve">Hvordan kan smeltevand fra indlandsisen og mindre havis ændre cirkulationen i virkeligheden? Brug både temperatur og salt i svaret.</w:t>
      </w:r>
    </w:p>
    <w:p>
      <w:pPr>
        <w:pStyle w:val="Compact"/>
        <w:numPr>
          <w:ilvl w:val="0"/>
          <w:numId w:val="1008"/>
        </w:numPr>
      </w:pPr>
      <w:r>
        <w:t xml:space="preserve">Hvad kan en svækket Golfstrøm betyde for klimaet i Danmark og Nordeuropa?</w:t>
      </w:r>
    </w:p>
    <w:p>
      <w:pPr>
        <w:pStyle w:val="Compact"/>
        <w:numPr>
          <w:ilvl w:val="0"/>
          <w:numId w:val="1008"/>
        </w:numPr>
      </w:pPr>
      <w:r>
        <w:t xml:space="preserve">Stemte jeres hypoteser med resultaterne?</w:t>
      </w:r>
    </w:p>
    <w:p>
      <w:pPr>
        <w:pStyle w:val="Compact"/>
        <w:numPr>
          <w:ilvl w:val="0"/>
          <w:numId w:val="1008"/>
        </w:numPr>
      </w:pPr>
      <w:r>
        <w:t xml:space="preserve">Hvilke af jeres observationer var kvalitative, og hvilke var kvantitative? Hvilke variabler holdt I konstant, og hvilke ændrede I?</w:t>
      </w:r>
    </w:p>
    <w:p>
      <w:pPr>
        <w:pStyle w:val="Compact"/>
        <w:numPr>
          <w:ilvl w:val="0"/>
          <w:numId w:val="1008"/>
        </w:numPr>
      </w:pPr>
      <w:r>
        <w:t xml:space="preserve">Kunne andre gentage forsøget og få samme resultat? Hvad kunne have påvirket jeres resultater (fejlkilder)?</w:t>
      </w:r>
    </w:p>
    <w:bookmarkEnd w:id="56"/>
    <w:sectPr>
      <w:headerReference r:id="rId7" w:type="default"/>
      <w:footerReference r:id="rId8" w:type="default"/>
      <w:pgSz w:h="16838" w:orient="portrait" w:w="11906"/>
      <w:pgMar w:bottom="1224" w:footer="500" w:gutter="0" w:header="500" w:left="1152" w:right="1152" w:top="1224"/>
      <w:pgNumType/>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http://schemas.openxmlformats.org/wordprocessingml/2006/main">
  <w:p>
    <w:pPr>
      <w:pBdr>
        <w:top w:val="single" w:color="A9BBA1" w:sz="4" w:space="6"/>
      </w:pBdr>
      <w:tabs>
        <w:tab w:val="right" w:pos="9026"/>
      </w:tabs>
    </w:pPr>
    <w:r>
      <w:rPr>
        <w:rFonts w:ascii="Calibri" w:cs="Calibri" w:eastAsia="Calibri" w:hAnsi="Calibri"/>
        <w:i/>
        <w:iCs/>
        <w:color w:val="6B7A66"/>
        <w:sz w:val="16"/>
        <w:szCs w:val="16"/>
      </w:rPr>
      <w:t xml:space="preserve">Øvelsesvejledning</w:t>
    </w:r>
    <w:r>
      <w:rPr>
        <w:rFonts w:ascii="Calibri" w:cs="Calibri" w:eastAsia="Calibri" w:hAnsi="Calibri"/>
      </w:rPr>
      <w:t xml:space="preserve">	</w:t>
    </w:r>
    <w:r>
      <w:rPr>
        <w:rFonts w:ascii="Calibri" w:cs="Calibri" w:eastAsia="Calibri" w:hAnsi="Calibri"/>
        <w:color w:val="6B7A66"/>
        <w:sz w:val="16"/>
        <w:szCs w:val="16"/>
      </w:rPr>
      <w:t xml:space="preserve">Side </w:t>
    </w:r>
    <w:r>
      <w:rPr>
        <w:rFonts w:ascii="Calibri" w:cs="Calibri" w:eastAsia="Calibri" w:hAnsi="Calibri"/>
        <w:color w:val="6B7A66"/>
        <w:sz w:val="16"/>
        <w:szCs w:val="16"/>
      </w:rPr>
      <w:fldChar w:fldCharType="begin"/>
      <w:instrText xml:space="preserve">PAGE</w:instrText>
      <w:fldChar w:fldCharType="separate"/>
      <w:fldChar w:fldCharType="end"/>
    </w:r>
    <w:r>
      <w:rPr>
        <w:rFonts w:ascii="Calibri" w:cs="Calibri" w:eastAsia="Calibri" w:hAnsi="Calibri"/>
        <w:color w:val="6B7A66"/>
        <w:sz w:val="16"/>
        <w:szCs w:val="16"/>
      </w:rPr>
      <w:t xml:space="preserve"> af </w:t>
    </w:r>
    <w:r>
      <w:rPr>
        <w:rFonts w:ascii="Calibri" w:cs="Calibri" w:eastAsia="Calibri" w:hAnsi="Calibri"/>
        <w:color w:val="6B7A66"/>
        <w:sz w:val="16"/>
        <w:szCs w:val="16"/>
      </w:rPr>
      <w:fldChar w:fldCharType="begin"/>
      <w:instrText xml:space="preserve">NUMPAGES</w:instrText>
      <w:fldChar w:fldCharType="separate"/>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w:p>
    <w:pPr>
      <w:pBdr>
        <w:bottom w:val="single" w:color="A9BBA1" w:sz="4" w:space="6"/>
      </w:pBdr>
      <w:tabs>
        <w:tab w:val="right" w:pos="9026"/>
      </w:tabs>
      <w:spacing w:after="0"/>
    </w:pPr>
    <w:r>
      <w:rPr>
        <w:rFonts w:ascii="Calibri" w:cs="Calibri" w:eastAsia="Calibri" w:hAnsi="Calibri"/>
        <w:b/>
        <w:bCs/>
        <w:color w:val="6B7A66"/>
        <w:spacing w:val="18"/>
        <w:sz w:val="16"/>
        <w:szCs w:val="16"/>
      </w:rPr>
      <w:t xml:space="preserve">NATURGEOGRAFI</w:t>
    </w:r>
    <w:r>
      <w:rPr>
        <w:rFonts w:ascii="Calibri" w:cs="Calibri" w:eastAsia="Calibri" w:hAnsi="Calibri"/>
      </w:rPr>
      <w:t xml:space="preserve">	</w:t>
    </w:r>
    <w:r>
      <w:rPr>
        <w:rFonts w:ascii="Calibri" w:cs="Calibri" w:eastAsia="Calibri" w:hAnsi="Calibri"/>
        <w:color w:val="6B7A66"/>
        <w:spacing w:val="10"/>
        <w:sz w:val="16"/>
        <w:szCs w:val="16"/>
      </w:rPr>
      <w:t xml:space="preserve">NV</w:t>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15:restartNumberingAfterBreak="0" w:abstractNumId="1">
    <w:multiLevelType w:val="hybridMultilevel"/>
    <w:lvl w15:tentative="1" w:ilvl="0">
      <w:start w:val="1"/>
      <w:numFmt w:val="bullet"/>
      <w:lvlText w:val="●"/>
      <w:lvlJc w:val="left"/>
      <w:pPr>
        <w:ind w:hanging="360" w:left="720"/>
      </w:pPr>
    </w:lvl>
    <w:lvl w15:tentative="1" w:ilvl="1">
      <w:start w:val="1"/>
      <w:numFmt w:val="bullet"/>
      <w:lvlText w:val="○"/>
      <w:lvlJc w:val="left"/>
      <w:pPr>
        <w:ind w:hanging="360" w:left="1440"/>
      </w:pPr>
    </w:lvl>
    <w:lvl w15:tentative="1" w:ilvl="2">
      <w:start w:val="1"/>
      <w:numFmt w:val="bullet"/>
      <w:lvlText w:val="■"/>
      <w:lvlJc w:val="left"/>
      <w:pPr>
        <w:ind w:hanging="360" w:left="2160"/>
      </w:pPr>
    </w:lvl>
    <w:lvl w15:tentative="1" w:ilvl="3">
      <w:start w:val="1"/>
      <w:numFmt w:val="bullet"/>
      <w:lvlText w:val="●"/>
      <w:lvlJc w:val="left"/>
      <w:pPr>
        <w:ind w:hanging="360" w:left="2880"/>
      </w:pPr>
    </w:lvl>
    <w:lvl w15:tentative="1" w:ilvl="4">
      <w:start w:val="1"/>
      <w:numFmt w:val="bullet"/>
      <w:lvlText w:val="○"/>
      <w:lvlJc w:val="left"/>
      <w:pPr>
        <w:ind w:hanging="360" w:left="3600"/>
      </w:pPr>
    </w:lvl>
    <w:lvl w15:tentative="1" w:ilvl="5">
      <w:start w:val="1"/>
      <w:numFmt w:val="bullet"/>
      <w:lvlText w:val="■"/>
      <w:lvlJc w:val="left"/>
      <w:pPr>
        <w:ind w:hanging="360" w:left="4320"/>
      </w:pPr>
    </w:lvl>
    <w:lvl w15:tentative="1" w:ilvl="6">
      <w:start w:val="1"/>
      <w:numFmt w:val="bullet"/>
      <w:lvlText w:val="●"/>
      <w:lvlJc w:val="left"/>
      <w:pPr>
        <w:ind w:hanging="360" w:left="5040"/>
      </w:pPr>
    </w:lvl>
    <w:lvl w15:tentative="1" w:ilvl="7">
      <w:start w:val="1"/>
      <w:numFmt w:val="bullet"/>
      <w:lvlText w:val="●"/>
      <w:lvlJc w:val="left"/>
      <w:pPr>
        <w:ind w:hanging="360" w:left="5760"/>
      </w:pPr>
    </w:lvl>
    <w:lvl w15:tentative="1" w:ilvl="8">
      <w:start w:val="1"/>
      <w:numFmt w:val="bullet"/>
      <w:lvlText w:val="●"/>
      <w:lvlJc w:val="left"/>
      <w:pPr>
        <w:ind w:hanging="360" w:left="6480"/>
      </w:pPr>
    </w:lvl>
  </w:abstractNum>
  <w:abstractNum w15:restartNumberingAfterBreak="0" w:abstractNumId="2">
    <w:multiLevelType w:val="hybridMultilevel"/>
    <w:lvl w15:tentative="1" w:ilvl="0">
      <w:start w:val="1"/>
      <w:numFmt w:val="decimal"/>
      <w:lvlText w:val="%1."/>
      <w:lvlJc w:val="start"/>
      <w:pPr>
        <w:ind w:hanging="300" w:left="420"/>
      </w:pPr>
    </w:lvl>
  </w:abstractNum>
  <w:abstractNum w15:restartNumberingAfterBreak="0" w:abstractNumId="3">
    <w:multiLevelType w:val="hybridMultilevel"/>
    <w:lvl w15:tentative="1" w:ilvl="0">
      <w:start w:val="1"/>
      <w:numFmt w:val="bullet"/>
      <w:lvlText w:val="–"/>
      <w:lvlJc w:val="start"/>
      <w:pPr>
        <w:ind w:hanging="200" w:left="3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displayBackgroundShape/>
  <w:embedSystemFonts/>
  <w:proofState w:grammar="clean" w:spelling="clean"/>
  <w:stylePaneFormatFilter w:val="0004"/>
  <w:doNotTrackMoves/>
  <w:defaultTabStop w:val="720"/>
  <w:evenAndOddHeaders w:val="false"/>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6332B"/>
        <w:sz w:val="22"/>
        <w:szCs w:val="22"/>
        <w:lang w:val="da"/>
      </w:rPr>
    </w:rPrDefault>
    <w:pPrDefault>
      <w:pPr>
        <w:spacing w:after="140" w:line="276" w:lineRule="auto"/>
      </w:pPr>
    </w:pPrDefault>
  </w:docDefaults>
  <w:style w:default="1" w:styleId="Normal" w:type="paragraph">
    <w:name w:val="Normal"/>
    <w:qFormat/>
  </w:style>
  <w:style w:styleId="Title" w:type="paragraph">
    <w:name w:val="Title"/>
    <w:basedOn w:val="Normal"/>
    <w:next w:val="Normal"/>
    <w:qFormat/>
    <w:pPr>
      <w:spacing w:after="80" w:before="40"/>
    </w:pPr>
    <w:rPr>
      <w:b/>
      <w:bCs/>
      <w:color w:val="2C4527"/>
      <w:sz w:val="52"/>
      <w:szCs w:val="52"/>
    </w:rPr>
  </w:style>
  <w:style w:styleId="Subtitle" w:type="paragraph">
    <w:name w:val="Subtitle"/>
    <w:basedOn w:val="Normal"/>
    <w:next w:val="Normal"/>
    <w:qFormat/>
    <w:pPr>
      <w:spacing w:after="220" w:before="0"/>
    </w:pPr>
    <w:rPr>
      <w:color w:val="6B7A66"/>
      <w:sz w:val="20"/>
    </w:rPr>
  </w:style>
  <w:style w:styleId="Heading1" w:type="paragraph">
    <w:name w:val="Heading 1"/>
    <w:basedOn w:val="Normal"/>
    <w:next w:val="Normal"/>
    <w:qFormat/>
    <w:pPr>
      <w:pBdr>
        <w:left w:color="3F5F3A" w:space="8" w:sz="18" w:val="single"/>
      </w:pBdr>
      <w:spacing w:after="140" w:before="320"/>
      <w:ind w:left="140"/>
    </w:pPr>
    <w:rPr>
      <w:b/>
      <w:bCs/>
      <w:color w:val="2C4527"/>
      <w:sz w:val="32"/>
      <w:szCs w:val="32"/>
    </w:rPr>
  </w:style>
  <w:style w:styleId="Heading2" w:type="paragraph">
    <w:name w:val="Heading 2"/>
    <w:basedOn w:val="Normal"/>
    <w:next w:val="Normal"/>
    <w:qFormat/>
    <w:pPr>
      <w:pBdr>
        <w:left w:color="3F5F3A" w:space="8" w:sz="18" w:val="single"/>
      </w:pBdr>
      <w:spacing w:after="120" w:before="300"/>
      <w:ind w:left="140"/>
    </w:pPr>
    <w:rPr>
      <w:b/>
      <w:bCs/>
      <w:color w:val="2C4527"/>
      <w:sz w:val="27"/>
      <w:szCs w:val="27"/>
    </w:rPr>
  </w:style>
  <w:style w:styleId="Heading3" w:type="paragraph">
    <w:name w:val="Heading 3"/>
    <w:basedOn w:val="Normal"/>
    <w:next w:val="Normal"/>
    <w:qFormat/>
    <w:pPr>
      <w:spacing w:after="100" w:before="200"/>
    </w:pPr>
    <w:rPr>
      <w:b/>
      <w:bCs/>
      <w:color w:val="3F5F3A"/>
      <w:sz w:val="24"/>
      <w:szCs w:val="24"/>
    </w:rPr>
  </w:style>
  <w:style w:styleId="Heading4" w:type="paragraph">
    <w:name w:val="Heading 4"/>
    <w:basedOn w:val="Normal"/>
    <w:next w:val="Normal"/>
    <w:qFormat/>
    <w:rPr>
      <w:i/>
      <w:iCs/>
      <w:color w:val="3F5F3A"/>
    </w:rPr>
  </w:style>
  <w:style w:styleId="Heading5" w:type="paragraph">
    <w:name w:val="Heading 5"/>
    <w:basedOn w:val="Normal"/>
    <w:next w:val="Normal"/>
    <w:qFormat/>
    <w:rPr>
      <w:color w:val="3F5F3A"/>
    </w:rPr>
  </w:style>
  <w:style w:styleId="Heading6" w:type="paragraph">
    <w:name w:val="Heading 6"/>
    <w:basedOn w:val="Normal"/>
    <w:next w:val="Normal"/>
    <w:qFormat/>
    <w:rPr>
      <w:color w:val="6B7A66"/>
    </w:rPr>
  </w:style>
  <w:style w:styleId="Strong" w:type="paragraph">
    <w:name w:val="Strong"/>
    <w:basedOn w:val="Normal"/>
    <w:next w:val="Normal"/>
    <w:qFormat/>
    <w:rPr>
      <w:b/>
      <w:bCs/>
    </w:rPr>
  </w:style>
  <w:style w:styleId="ListParagraph" w:type="paragraph">
    <w:name w:val="List Paragraph"/>
    <w:basedOn w:val="Normal"/>
    <w:qFormat/>
  </w:style>
  <w:style w:styleId="BodyText" w:type="paragraph">
    <w:name w:val="Body Text"/>
    <w:basedOn w:val="Normal"/>
    <w:next w:val="Normal"/>
    <w:qFormat/>
  </w:style>
  <w:style w:styleId="FirstParagraph" w:type="paragraph">
    <w:name w:val="First Paragraph"/>
    <w:basedOn w:val="Normal"/>
    <w:next w:val="Normal"/>
    <w:qFormat/>
    <w:pPr>
      <w:spacing w:before="0"/>
    </w:pPr>
  </w:style>
  <w:style w:styleId="Compact" w:type="paragraph">
    <w:name w:val="Compact"/>
    <w:basedOn w:val="ListParagraph"/>
    <w:next w:val="Compact"/>
    <w:qFormat/>
    <w:pPr>
      <w:spacing w:after="90" w:line="276" w:lineRule="auto"/>
    </w:pPr>
  </w:style>
  <w:style w:styleId="CaptionedFigure" w:type="paragraph">
    <w:name w:val="Captioned Figure"/>
    <w:basedOn w:val="Normal"/>
    <w:next w:val="Normal"/>
    <w:qFormat/>
    <w:pPr>
      <w:spacing w:after="0" w:before="120"/>
      <w:jc w:val="center"/>
    </w:pPr>
  </w:style>
  <w:style w:styleId="Caption" w:type="paragraph">
    <w:name w:val="Caption"/>
    <w:basedOn w:val="Normal"/>
    <w:next w:val="Normal"/>
    <w:qFormat/>
    <w:pPr>
      <w:spacing w:after="220" w:before="100"/>
      <w:jc w:val="center"/>
    </w:pPr>
    <w:rPr>
      <w:i/>
      <w:iCs/>
      <w:color w:val="6B7A66"/>
      <w:sz w:val="19"/>
      <w:szCs w:val="19"/>
    </w:rPr>
  </w:style>
  <w:style w:styleId="ImageCaption" w:type="paragraph">
    <w:name w:val="Image Caption"/>
    <w:basedOn w:val="Caption"/>
    <w:next w:val="Normal"/>
    <w:qFormat/>
  </w:style>
  <w:style w:styleId="Table" w:type="table">
    <w:name w:val="Table"/>
    <w:basedOn w:val="TableNormal"/>
    <w:uiPriority w:val="99"/>
    <w:pPr>
      <w:spacing w:after="0" w:line="256" w:lineRule="auto"/>
    </w:pPr>
    <w:tblPr>
      <w:tblBorders>
        <w:top w:color="8FA085" w:space="0" w:sz="4" w:val="single"/>
        <w:left w:color="8FA085" w:space="0" w:sz="4" w:val="single"/>
        <w:bottom w:color="8FA085" w:space="0" w:sz="4" w:val="single"/>
        <w:right w:color="8FA085" w:space="0" w:sz="4" w:val="single"/>
        <w:insideH w:color="C7D0C0" w:space="0" w:sz="4" w:val="single"/>
        <w:insideV w:color="C7D0C0" w:space="0" w:sz="4" w:val="single"/>
      </w:tblBorders>
    </w:tblPr>
    <w:tcPr>
      <w:tcMar>
        <w:top w:type="dxa" w:w="90"/>
        <w:left w:type="dxa" w:w="120"/>
        <w:bottom w:type="dxa" w:w="90"/>
        <w:right w:type="dxa" w:w="120"/>
      </w:tcMar>
    </w:tcPr>
  </w:style>
  <w:style w:default="1" w:styleId="TableNormal" w:type="table">
    <w:name w:val="Normal Table"/>
    <w:uiPriority w:val="99"/>
    <w:semiHidden/>
    <w:unhideWhenUsed/>
    <w:tblPr>
      <w:tblCellMar>
        <w:top w:type="dxa" w:w="0"/>
        <w:left w:type="dxa" w:w="108"/>
        <w:bottom w:type="dxa" w:w="0"/>
        <w:right w:type="dxa" w:w="108"/>
      </w:tblCellMar>
    </w:tblPr>
  </w:style>
  <w:style w:styleId="FirstRow" w:type="table">
    <w:name w:val="First Row"/>
    <w:basedOn w:val="Table"/>
    <w:uiPriority w:val="99"/>
  </w:style>
  <w:style w:styleId="Hyperlink" w:type="character">
    <w:name w:val="Hyperlink"/>
    <w:basedOn w:val="DefaultParagraphFont"/>
    <w:uiPriority w:val="99"/>
    <w:unhideWhenUsed/>
    <w:rPr>
      <w:color w:val="1F5F8B"/>
      <w:u w:val="single"/>
    </w:rPr>
  </w:style>
  <w:style w:styleId="FootnoteReference" w:type="character">
    <w:name w:val="footnote reference"/>
    <w:basedOn w:val="DefaultParagraphFont"/>
    <w:uiPriority w:val="99"/>
    <w:semiHidden/>
    <w:unhideWhenUsed/>
    <w:rPr>
      <w:vertAlign w:val="superscript"/>
    </w:rPr>
  </w:style>
  <w:style w:styleId="FootnoteText" w:type="paragraph">
    <w:name w:val="footnote text"/>
    <w:basedOn w:val="Normal"/>
    <w:link w:val="FootnoteTextChar"/>
    <w:uiPriority w:val="99"/>
    <w:semiHidden/>
    <w:unhideWhenUsed/>
    <w:pPr>
      <w:spacing w:after="0" w:line="240" w:lineRule="auto"/>
    </w:pPr>
    <w:rPr>
      <w:sz w:val="20"/>
      <w:szCs w:val="20"/>
    </w:rPr>
  </w:style>
  <w:style w:styleId="FootnoteTextChar" w:type="character">
    <w:name w:val="Footnote Text Char"/>
    <w:basedOn w:val="DefaultParagraphFont"/>
    <w:link w:val="FootnoteText"/>
    <w:uiPriority w:val="99"/>
    <w:semiHidden/>
    <w:unhideWhenUsed/>
    <w:rPr>
      <w:sz w:val="20"/>
      <w:szCs w:val="20"/>
    </w:rPr>
  </w:style>
  <w:style w:styleId="EndnoteReference" w:type="character">
    <w:name w:val="endnote reference"/>
    <w:basedOn w:val="DefaultParagraphFont"/>
    <w:uiPriority w:val="99"/>
    <w:semiHidden/>
    <w:unhideWhenUsed/>
    <w:rPr>
      <w:vertAlign w:val="superscript"/>
    </w:rPr>
  </w:style>
  <w:style w:styleId="EndnoteText" w:type="paragraph">
    <w:name w:val="endnote text"/>
    <w:basedOn w:val="Normal"/>
    <w:link w:val="EndnoteTextChar"/>
    <w:uiPriority w:val="99"/>
    <w:semiHidden/>
    <w:unhideWhenUsed/>
    <w:pPr>
      <w:spacing w:after="0" w:line="240" w:lineRule="auto"/>
    </w:pPr>
    <w:rPr>
      <w:sz w:val="20"/>
      <w:szCs w:val="20"/>
    </w:rPr>
  </w:style>
  <w:style w:styleId="EndnoteTextChar" w:type="character">
    <w:name w:val="Endnote Text Char"/>
    <w:basedOn w:val="DefaultParagraphFont"/>
    <w:link w:val="EndnoteText"/>
    <w:uiPriority w:val="99"/>
    <w:semiHidden/>
    <w:unhideWhenUsed/>
    <w:rPr>
      <w:sz w:val="20"/>
      <w:szCs w:val="20"/>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Type="http://schemas.openxmlformats.org/officeDocument/2006/relationships/numbering" Id="rId18" Target="numbering.xml" /><Relationship Type="http://schemas.openxmlformats.org/officeDocument/2006/relationships/styles" Id="rId17" Target="styles.xml" /><Relationship Type="http://schemas.openxmlformats.org/officeDocument/2006/relationships/settings" Id="rId16" Target="settings.xml" /><Relationship Type="http://schemas.openxmlformats.org/officeDocument/2006/relationships/webSettings" Id="rId15" Target="webSettings.xml" /><Relationship Type="http://schemas.openxmlformats.org/officeDocument/2006/relationships/fontTable" Id="rId14" Target="fontTable.xml" /><Relationship Type="http://schemas.openxmlformats.org/officeDocument/2006/relationships/theme" Id="rId13" Target="theme/theme1.xml" /><Relationship Type="http://schemas.openxmlformats.org/officeDocument/2006/relationships/footnotes" Id="rId12" Target="footnotes.xml" /><Relationship Type="http://schemas.openxmlformats.org/officeDocument/2006/relationships/comments" Id="rId11" Target="comments.xml" /><Relationship Id="rId7" Target="header1.xml" Type="http://schemas.openxmlformats.org/officeDocument/2006/relationships/header" /><Relationship Id="rId8" Target="footer1.xml" Type="http://schemas.openxmlformats.org/officeDocument/2006/relationships/footer" /><Relationship Id="rId9" Target="media/ff4355ab3d7b3fb047ac1bb9b81f09919282c810.png" Type="http://schemas.openxmlformats.org/officeDocument/2006/relationships/image" /><Relationship Id="rId10" Target="media/22118e1eede36edf4136c10d3e20d9ff95fafa9e.png" Type="http://schemas.openxmlformats.org/officeDocument/2006/relationships/image" /><Relationship Type="http://schemas.openxmlformats.org/officeDocument/2006/relationships/image" Id="rId36" Target="media/rId36.png" /><Relationship Type="http://schemas.openxmlformats.org/officeDocument/2006/relationships/image" Id="rId39" Target="media/rId39.png" /><Relationship Type="http://schemas.openxmlformats.org/officeDocument/2006/relationships/image" Id="rId20" Target="media/rId20.svg" /><Relationship Type="http://schemas.openxmlformats.org/officeDocument/2006/relationships/image" Id="rId25" Target="media/rId25.svg" /><Relationship Type="http://schemas.openxmlformats.org/officeDocument/2006/relationships/image" Id="rId45" Target="media/rId45.svg" /><Relationship Type="http://schemas.openxmlformats.org/officeDocument/2006/relationships/image" Id="rId30" Target="media/rId30.svg" /><Relationship Type="http://schemas.openxmlformats.org/officeDocument/2006/relationships/image" Id="rId23" Target="media/rId23.png" /><Relationship Type="http://schemas.openxmlformats.org/officeDocument/2006/relationships/image" Id="rId28" Target="media/rId28.png" /><Relationship Type="http://schemas.openxmlformats.org/officeDocument/2006/relationships/image" Id="rId33" Target="media/rId33.png" /><Relationship Type="http://schemas.openxmlformats.org/officeDocument/2006/relationships/image" Id="rId48" Target="media/rId48.png" /></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Grønlandspumpen — NV-udgave</dc:title>
  <dc:creator/>
  <dc:language>da</dc:language>
  <cp:keywords/>
  <dcterms:created xsi:type="dcterms:W3CDTF">2026-10-02T08:35:30Z</dcterms:created>
  <dcterms:modified xsi:type="dcterms:W3CDTF">2026-10-02T08:35:30Z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doc-type">
    <vt:lpwstr>Øvelsesvejledning</vt:lpwstr>
  </property>
  <property fmtid="{D5CDD505-2E9C-101B-9397-08002B2CF9AE}" pid="4" name="fag">
    <vt:lpwstr>Naturgeografi</vt:lpwstr>
  </property>
  <property fmtid="{D5CDD505-2E9C-101B-9397-08002B2CF9AE}" pid="5" name="header-includes">
    <vt:lpwstr/>
  </property>
  <property fmtid="{D5CDD505-2E9C-101B-9397-08002B2CF9AE}" pid="6" name="hold">
    <vt:lpwstr>NV</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subtitle">
    <vt:lpwstr>Temperatur, salt og den termohaline cirkulation i ét kar</vt:lpwstr>
  </property>
  <property fmtid="{D5CDD505-2E9C-101B-9397-08002B2CF9AE}" pid="11" name="toc-title">
    <vt:lpwstr>Indholdsfortegnelse</vt:lpwstr>
  </property>
</Properties>
</file>