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rId26.png" ContentType="image/png"/>
  <Override PartName="/word/media/rId30.png" ContentType="image/png"/>
  <Override PartName="/word/media/rId20.svg" ContentType="image/svg+xml"/>
  <Override PartName="/word/media/rId37.svg" ContentType="image/svg+xml"/>
  <Override PartName="/word/media/rId23.png" ContentType="image/png"/>
  <Override PartName="/word/media/rId40.png" ContentType="image/png"/>
  <Override PartName="/word/media/ff4355ab3d7b3fb047ac1bb9b81f09919282c810.png" ContentType="image/png"/>
  <Override PartName="/word/media/22118e1eede36edf4136c10d3e20d9ff95fafa9e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a="http://schemas.openxmlformats.org/drawingml/2006/main" xmlns:m="http://schemas.openxmlformats.org/officeDocument/2006/math" xmlns:ns6="http://schemas.microsoft.com/office/drawing/2010/main" xmlns:ns7="http://schemas.microsoft.com/office/drawing/2016/SVG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>
  <w:body>
    <w:p>
      <w:pPr>
        <w:pStyle w:val="Title"/>
      </w:pPr>
      <w:r>
        <w:t xml:space="preserve">Bjergarternes densitet</w:t>
      </w:r>
    </w:p>
    <w:p>
      <w:pPr>
        <w:pStyle w:val="Subtitle"/>
      </w:pPr>
      <w:r>
        <w:t xml:space="preserve">Hvorfor synker oceanbunden, mens kontinenterne bliver liggende?</w:t>
      </w:r>
    </w:p>
    <w:p>
      <w:pPr>
        <w:pStyle w:val="FirstParagraph"/>
      </w:pPr>
      <w:r>
        <w:rPr>
          <w:b/>
          <w:bCs/>
        </w:rPr>
        <w:t xml:space="preserve">Dato:</w:t>
      </w:r>
      <w:r>
        <w:t xml:space="preserve"> </w:t>
      </w:r>
      <w:r>
        <w:t xml:space="preserve">____________________     </w:t>
      </w:r>
      <w:r>
        <w:t xml:space="preserve"> </w:t>
      </w:r>
      <w:r>
        <w:rPr>
          <w:b/>
          <w:bCs/>
        </w:rPr>
        <w:t xml:space="preserve">Gruppe / navne:</w:t>
      </w:r>
      <w:r>
        <w:t xml:space="preserve"> </w:t>
      </w:r>
      <w:r>
        <w:t xml:space="preserve">____________________________________________</w:t>
      </w:r>
    </w:p>
    <w:bookmarkStart w:id="19" w:name="om-øvelsen"/>
    <w:p>
      <w:pPr>
        <w:pStyle w:val="Heading2"/>
      </w:pPr>
      <w:r>
        <w:t xml:space="preserve">Om øvelsen</w:t>
      </w:r>
    </w:p>
    <w:p>
      <w:pPr>
        <w:pStyle w:val="FirstParagraph"/>
      </w:pPr>
      <w:r>
        <w:t xml:space="preserve">Kontinenterne har ligget på Jordens overflade i milliarder af år, men oceanbunden bliver hele tiden skabt ved de midtoceaniske rygge og forsvinder igen ned i kappen ved dybhavsgravene. Forklaringen skal findes i, hvad pladerne er lavet af. I denne øvelse bestemmer I densiteten af fire bjergarter, som hver repræsenterer sin del af Jorden. Bagefter bruger I tallene til at forklare, hvorfor pladerne opfører sig så forskelligt.</w:t>
      </w:r>
    </w:p>
    <w:bookmarkEnd w:id="19"/>
    <w:bookmarkStart w:id="25" w:name="baggrund"/>
    <w:p>
      <w:pPr>
        <w:pStyle w:val="Heading2"/>
      </w:pPr>
      <w:r>
        <w:t xml:space="preserve">Baggrund</w:t>
      </w:r>
    </w:p>
    <w:p>
      <w:pPr>
        <w:pStyle w:val="FirstParagraph"/>
      </w:pPr>
      <w:r>
        <w:t xml:space="preserve">Densitet er masse pr. rumfang:</w:t>
      </w:r>
    </w:p>
    <w:p>
      <w:pPr>
        <w:pStyle w:val="BodyText"/>
      </w:pPr>
      <m:oMathPara>
        <m:oMathParaPr>
          <m:jc m:val="center"/>
        </m:oMathParaPr>
        <m:oMath>
          <m:r>
            <m:t>ρ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m</m:t>
              </m:r>
            </m:num>
            <m:den>
              <m:r>
                <m:t>V</m:t>
              </m:r>
            </m:den>
          </m:f>
        </m:oMath>
      </m:oMathPara>
    </w:p>
    <w:p>
      <w:pPr>
        <w:pStyle w:val="FirstParagraph"/>
      </w:pPr>
      <w:r>
        <w:t xml:space="preserve">Massen af en sten kan I veje direkte. Rumfanget er sværere at finde, fordi stenen har en uregelmæssig form. I løser det ved at lade vandet gøre arbejdet:</w:t>
      </w:r>
    </w:p>
    <w:p>
      <w:pPr>
        <w:pStyle w:val="Compact"/>
        <w:numPr>
          <w:ilvl w:val="0"/>
          <w:numId w:val="1001"/>
        </w:numPr>
      </w:pPr>
      <w:r>
        <w:t xml:space="preserve">Vandet løfter opad på en sten, der er sænket ned i det. Denne opdrift er lige så stor som tyngden af det vand, stenen skubber til side (Arkimedes’ lov).</w:t>
      </w:r>
    </w:p>
    <w:p>
      <w:pPr>
        <w:pStyle w:val="Compact"/>
        <w:numPr>
          <w:ilvl w:val="0"/>
          <w:numId w:val="1001"/>
        </w:numPr>
      </w:pPr>
      <w:r>
        <w:t xml:space="preserve">Stenen skubber til gengæld lige så meget nedad på vandet. Hænger stenen frit i en snor, er det den kraft og kun den, vægten under skålen mærker. Resten af stenens tyngde bæres af snoren.</w:t>
      </w:r>
    </w:p>
    <w:p>
      <w:pPr>
        <w:pStyle w:val="Compact"/>
        <w:numPr>
          <w:ilvl w:val="0"/>
          <w:numId w:val="1001"/>
        </w:numPr>
      </w:pPr>
      <w:r>
        <w:t xml:space="preserve">Nulstiller I vægten med vandskålen på, viser den derfor direkte massen af det fortrængte vand.</w:t>
      </w:r>
    </w:p>
    <w:p>
      <w:pPr>
        <w:pStyle w:val="FirstParagraph"/>
      </w:pPr>
      <w:r>
        <w:t xml:space="preserve">Vand har densiteten 1,00 g/cm³. Hvert gram fortrængt vand svarer altså til 1 cm³, og det rumfang har stenen også.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4" w:name="fig-opstilling"/>
          <w:p>
            <w:pPr>
              <w:pStyle w:val="Compact"/>
              <w:jc w:val="center"/>
            </w:pPr>
            <w:r>
              <w:drawing>
                <wp:inline>
                  <wp:extent cx="6096000" cy="2571750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figurer/opstilling.sv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ns6:useLocalDpi val="0"/>
                              </a:ext>
                              <a:ext uri="{96DAC541-7B7A-43D3-8B79-37D633B846F1}">
                                <ns7:svgBlip r:embed="rId2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0" cy="2571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 1: Sådan måles rumfanget. Vægten nulstilles med vandskålen på (1). Når stenen hænger frit i vandet, viser vægten massen af det vand, stenen fortrænger (2).</w:t>
            </w:r>
          </w:p>
          <w:bookmarkEnd w:id="24"/>
        </w:tc>
      </w:tr>
    </w:tbl>
    <w:bookmarkEnd w:id="25"/>
    <w:bookmarkStart w:id="29" w:name="hypotese"/>
    <w:p>
      <w:pPr>
        <w:pStyle w:val="Heading2"/>
      </w:pPr>
      <w:r>
        <w:t xml:space="preserve">Hypotese</w:t>
      </w:r>
    </w:p>
    <w:p>
      <w:pPr>
        <w:pStyle w:val="FirstParagraph"/>
      </w:pPr>
      <w:r>
        <w:t xml:space="preserve">De fire bjergarter er granit, basalt, peridotit og eklogit. Prøv at løfte dem i hånden, og slå op, hvor på Jorden de hører hjemme. Skriv derefter jeres bud på rækkefølgen fra lettest til tungest, inden I måler.</w:t>
      </w:r>
    </w:p>
    <w:p>
      <w:pPr>
        <w:pStyle w:val="BodyText"/>
      </w:pPr>
      <w:r>
        <w:t xml:space="preserve">Lettest ________________ &lt; ________________ &lt; ________________ &lt; ________________ tungest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  <w:keepNext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/Applications/quarto/share/formats/docx/note.pn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Materialer (pr. gruppe)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Digital vægt med tarafunktion, der kan veje op til ca. 2 kg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Skål eller bægerglas med vand, stor nok til at den største sten kan hænge frit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Tynd snor, fx gavebånd eller fiskeline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Køkkenrulle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Fire bjergartsprøver: granit (eller granitisk gnejs), basalt, peridotit og eklogit</w:t>
            </w:r>
          </w:p>
          <w:p/>
        </w:tc>
      </w:tr>
    </w:tbl>
    <w:bookmarkEnd w:id="29"/>
    <w:bookmarkStart w:id="33" w:name="fremgangsmåde"/>
    <w:p>
      <w:pPr>
        <w:pStyle w:val="Heading2"/>
      </w:pPr>
      <w:r>
        <w:t xml:space="preserve">Fremgangsmåde</w:t>
      </w:r>
    </w:p>
    <w:p>
      <w:pPr>
        <w:pStyle w:val="Compact"/>
        <w:numPr>
          <w:ilvl w:val="0"/>
          <w:numId w:val="1003"/>
        </w:numPr>
      </w:pPr>
      <w:r>
        <w:t xml:space="preserve">Tør stenene af, så de er helt tørre, og vej hver af dem. Skriv massen i</w:t>
      </w:r>
      <w:r>
        <w:t xml:space="preserve"> </w:t>
      </w:r>
      <w:hyperlink w:anchor="tbl-1">
        <w:r>
          <w:rPr>
            <w:rStyle w:val="Hyperlink"/>
          </w:rPr>
          <w:t xml:space="preserve">Tabel 1</w:t>
        </w:r>
      </w:hyperlink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Bind snoren godt fast om den første sten.</w:t>
      </w:r>
    </w:p>
    <w:p>
      <w:pPr>
        <w:pStyle w:val="Compact"/>
        <w:numPr>
          <w:ilvl w:val="0"/>
          <w:numId w:val="1003"/>
        </w:numPr>
      </w:pPr>
      <w:r>
        <w:t xml:space="preserve">Fyld vand i skålen, så stenen senere kan dækkes helt. Stil skålen på vægten, og tryk</w:t>
      </w:r>
      <w:r>
        <w:t xml:space="preserve"> </w:t>
      </w:r>
      <w:r>
        <w:rPr>
          <w:b/>
          <w:bCs/>
        </w:rPr>
        <w:t xml:space="preserve">TARE</w:t>
      </w:r>
      <w:r>
        <w:t xml:space="preserve">. Vent, til vægten viser 0 g.</w:t>
      </w:r>
    </w:p>
    <w:p>
      <w:pPr>
        <w:pStyle w:val="Compact"/>
        <w:numPr>
          <w:ilvl w:val="0"/>
          <w:numId w:val="1003"/>
        </w:numPr>
      </w:pPr>
      <w:r>
        <w:t xml:space="preserve">Sænk stenen ned i vandet ved at holde i snoren. Den skal være helt dækket, men må hverken røre bunden eller siderne (</w:t>
      </w:r>
      <w:hyperlink w:anchor="fig-opstilling">
        <w:r>
          <w:rPr>
            <w:rStyle w:val="Hyperlink"/>
          </w:rPr>
          <w:t xml:space="preserve">Figur 1</w:t>
        </w:r>
      </w:hyperlink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t xml:space="preserve">Ryst stenen let, så eventuelle luftbobler slipper. Aflæs vægten, når tallet står stille, og skriv det i</w:t>
      </w:r>
      <w:r>
        <w:t xml:space="preserve"> </w:t>
      </w:r>
      <w:hyperlink w:anchor="tbl-1">
        <w:r>
          <w:rPr>
            <w:rStyle w:val="Hyperlink"/>
          </w:rPr>
          <w:t xml:space="preserve">Tabel 1</w:t>
        </w:r>
      </w:hyperlink>
      <w:r>
        <w:t xml:space="preserve"> </w:t>
      </w:r>
      <w:r>
        <w:t xml:space="preserve">som måling 1.</w:t>
      </w:r>
    </w:p>
    <w:p>
      <w:pPr>
        <w:pStyle w:val="Compact"/>
        <w:numPr>
          <w:ilvl w:val="0"/>
          <w:numId w:val="1003"/>
        </w:numPr>
      </w:pPr>
      <w:r>
        <w:t xml:space="preserve">Løft stenen op, lad den dryppe af, og gentag trin 3–5. Skriv resultatet som måling 2.</w:t>
      </w:r>
    </w:p>
    <w:p>
      <w:pPr>
        <w:pStyle w:val="Compact"/>
        <w:numPr>
          <w:ilvl w:val="0"/>
          <w:numId w:val="1003"/>
        </w:numPr>
      </w:pPr>
      <w:r>
        <w:t xml:space="preserve">Gør det samme med de tre andre sten. Nulstil vægten igen før hver sten, for der er måske sprøjtet lidt vand ud.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  <w:keepNext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1" name="Picture"/>
                  <a:graphic>
                    <a:graphicData uri="http://schemas.openxmlformats.org/drawingml/2006/picture">
                      <pic:pic>
                        <pic:nvPicPr>
                          <pic:cNvPr descr="/Applications/quarto/share/formats/docx/tip.png" id="3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Tip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Store sten giver de mest præcise resultater. En vægt, der viser hele gram, har en usikkerhed på ± 1 g, og det betyder meget mere for en sten på 40 g end for en på 400 g.</w:t>
            </w:r>
          </w:p>
          <w:p/>
        </w:tc>
      </w:tr>
    </w:tbl>
    <w:bookmarkEnd w:id="33"/>
    <w:bookmarkStart w:id="35" w:name="registrering-af-målinger"/>
    <w:p>
      <w:pPr>
        <w:pStyle w:val="Heading2"/>
      </w:pPr>
      <w:r>
        <w:t xml:space="preserve">Registrering af målinger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4" w:name="tbl-1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Tabel 1: Rådata: masse af stenene og af det vand, de fortrænger.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2436"/>
              <w:gridCol w:w="1827"/>
              <w:gridCol w:w="1827"/>
              <w:gridCol w:w="1827"/>
            </w:tblGrid>
            <w:tr>
              <w:trPr>
                <w:cantSplit/>
                <w:tblHeader w:val="on"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Bjergart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Stenens masse (g)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Fortrængt vand, måling 1 (g)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Fortrængt vand, måling 2 (g)</w:t>
                  </w: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Granit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Basalt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Peridotit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Eklogit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bookmarkEnd w:id="34"/>
          <w:p/>
        </w:tc>
      </w:tr>
    </w:tbl>
    <w:bookmarkEnd w:id="35"/>
    <w:bookmarkStart w:id="43" w:name="databehandling"/>
    <w:p>
      <w:pPr>
        <w:pStyle w:val="Heading2"/>
      </w:pPr>
      <w:r>
        <w:t xml:space="preserve">Databehandling</w:t>
      </w:r>
    </w:p>
    <w:p>
      <w:pPr>
        <w:pStyle w:val="Compact"/>
        <w:numPr>
          <w:ilvl w:val="0"/>
          <w:numId w:val="1004"/>
        </w:numPr>
      </w:pPr>
      <w:r>
        <w:t xml:space="preserve">Beregn gennemsnittet af de to målinger af fortrængt vand for hver sten. Omregn det til stenens rumfang, hvor vandets densitet er 1,00 g/cm³:</w:t>
      </w:r>
    </w:p>
    <w:p>
      <w:pPr>
        <w:pStyle w:val="FirstParagraph"/>
      </w:pPr>
      <m:oMathPara>
        <m:oMathParaPr>
          <m:jc m:val="center"/>
        </m:oMathParaPr>
        <m:oMath>
          <m:sSub>
            <m:e>
              <m:r>
                <m:t>V</m:t>
              </m:r>
            </m:e>
            <m:sub>
              <m:r>
                <m:rPr>
                  <m:nor/>
                  <m:sty m:val="p"/>
                </m:rPr>
                <m:t>sten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sSub>
                <m:e>
                  <m:r>
                    <m:t>m</m:t>
                  </m:r>
                </m:e>
                <m:sub>
                  <m:r>
                    <m:rPr>
                      <m:nor/>
                      <m:sty m:val="p"/>
                    </m:rPr>
                    <m:t>fortrængt vand</m:t>
                  </m:r>
                </m:sub>
              </m:sSub>
            </m:num>
            <m:den>
              <m:sSub>
                <m:e>
                  <m:r>
                    <m:t>ρ</m:t>
                  </m:r>
                </m:e>
                <m:sub>
                  <m:r>
                    <m:rPr>
                      <m:nor/>
                      <m:sty m:val="p"/>
                    </m:rPr>
                    <m:t>vand</m:t>
                  </m:r>
                </m:sub>
              </m:sSub>
            </m:den>
          </m:f>
        </m:oMath>
      </m:oMathPara>
    </w:p>
    <w:p>
      <w:pPr>
        <w:pStyle w:val="Compact"/>
        <w:numPr>
          <w:ilvl w:val="0"/>
          <w:numId w:val="1005"/>
        </w:numPr>
      </w:pPr>
      <w:r>
        <w:t xml:space="preserve">Beregn densiteten af hver sten:</w:t>
      </w:r>
    </w:p>
    <w:p>
      <w:pPr>
        <w:pStyle w:val="FirstParagraph"/>
      </w:pPr>
      <m:oMathPara>
        <m:oMathParaPr>
          <m:jc m:val="center"/>
        </m:oMathParaPr>
        <m:oMath>
          <m:sSub>
            <m:e>
              <m:r>
                <m:t>ρ</m:t>
              </m:r>
            </m:e>
            <m:sub>
              <m:r>
                <m:rPr>
                  <m:nor/>
                  <m:sty m:val="p"/>
                </m:rPr>
                <m:t>sten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sSub>
                <m:e>
                  <m:r>
                    <m:t>m</m:t>
                  </m:r>
                </m:e>
                <m:sub>
                  <m:r>
                    <m:rPr>
                      <m:nor/>
                      <m:sty m:val="p"/>
                    </m:rPr>
                    <m:t>sten</m:t>
                  </m:r>
                </m:sub>
              </m:sSub>
            </m:num>
            <m:den>
              <m:sSub>
                <m:e>
                  <m:r>
                    <m:t>V</m:t>
                  </m:r>
                </m:e>
                <m:sub>
                  <m:r>
                    <m:rPr>
                      <m:nor/>
                      <m:sty m:val="p"/>
                    </m:rPr>
                    <m:t>sten</m:t>
                  </m:r>
                </m:sub>
              </m:sSub>
            </m:den>
          </m:f>
        </m:oMath>
      </m:oMathPara>
    </w:p>
    <w:p>
      <w:pPr>
        <w:pStyle w:val="Compact"/>
        <w:numPr>
          <w:ilvl w:val="0"/>
          <w:numId w:val="1006"/>
        </w:numPr>
      </w:pPr>
      <w:r>
        <w:t xml:space="preserve">Sammenlign med tabelværdien i</w:t>
      </w:r>
      <w:r>
        <w:t xml:space="preserve"> </w:t>
      </w:r>
      <w:hyperlink w:anchor="tbl-2">
        <w:r>
          <w:rPr>
            <w:rStyle w:val="Hyperlink"/>
          </w:rPr>
          <w:t xml:space="preserve">Tabel 2</w:t>
        </w:r>
      </w:hyperlink>
      <w:r>
        <w:t xml:space="preserve">, og beregn afvigelsen i procent. Brug midten af intervallet som tabelværdi:</w:t>
      </w:r>
    </w:p>
    <w:p>
      <w:pPr>
        <w:pStyle w:val="FirstParagraph"/>
      </w:pPr>
      <m:oMathPara>
        <m:oMathParaPr>
          <m:jc m:val="center"/>
        </m:oMathParaPr>
        <m:oMath>
          <m:r>
            <m:rPr>
              <m:nor/>
              <m:sty m:val="p"/>
            </m:rPr>
            <m:t>afvigelse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sSub>
                <m:e>
                  <m:r>
                    <m:t>ρ</m:t>
                  </m:r>
                </m:e>
                <m:sub>
                  <m:r>
                    <m:rPr>
                      <m:nor/>
                      <m:sty m:val="p"/>
                    </m:rPr>
                    <m:t>målt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ρ</m:t>
                  </m:r>
                </m:e>
                <m:sub>
                  <m:r>
                    <m:rPr>
                      <m:nor/>
                      <m:sty m:val="p"/>
                    </m:rPr>
                    <m:t>tabel</m:t>
                  </m:r>
                </m:sub>
              </m:sSub>
            </m:num>
            <m:den>
              <m:sSub>
                <m:e>
                  <m:r>
                    <m:t>ρ</m:t>
                  </m:r>
                </m:e>
                <m:sub>
                  <m:r>
                    <m:rPr>
                      <m:nor/>
                      <m:sty m:val="p"/>
                    </m:rPr>
                    <m:t>tabel</m:t>
                  </m:r>
                </m:sub>
              </m:sSub>
            </m:den>
          </m:f>
          <m:r>
            <m:rPr>
              <m:sty m:val="p"/>
            </m:rPr>
            <m:t>⋅</m:t>
          </m:r>
          <m:r>
            <m:t>100</m:t>
          </m:r>
          <m:r>
            <m:t> </m:t>
          </m:r>
          <m:r>
            <m:rPr>
              <m:sty m:val="p"/>
            </m:rPr>
            <m:t>%</m:t>
          </m:r>
        </m:oMath>
      </m:oMathPara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6" w:name="tbl-2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Tabel 2: Beregnede værdier og sammenligning med typiske tabelværdier.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1980"/>
              <w:gridCol w:w="1485"/>
              <w:gridCol w:w="1485"/>
              <w:gridCol w:w="1485"/>
              <w:gridCol w:w="1485"/>
            </w:tblGrid>
            <w:tr>
              <w:trPr>
                <w:cantSplit/>
                <w:tblHeader w:val="on"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Bjergart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Rumfang (cm³)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Målt densitet (g/cm³)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Tabelværdi (g/cm³)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Afvigelse (%)</w:t>
                  </w: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Granit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2,6–2,7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Basalt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2,9–3,0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Peridotit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3,2–3,4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Eklogit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3,4–3,6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bookmarkEnd w:id="36"/>
          <w:p/>
        </w:tc>
      </w:tr>
    </w:tbl>
    <w:p>
      <w:pPr>
        <w:pStyle w:val="Compact"/>
        <w:numPr>
          <w:ilvl w:val="0"/>
          <w:numId w:val="1007"/>
        </w:numPr>
      </w:pPr>
      <w:r>
        <w:t xml:space="preserve">Sæt de fire bjergarter i rækkefølge efter jeres målte densitet, og sammenlign med jeres hypotese.</w:t>
      </w:r>
    </w:p>
    <w:p>
      <w:pPr>
        <w:pStyle w:val="Compact"/>
        <w:numPr>
          <w:ilvl w:val="0"/>
          <w:numId w:val="1007"/>
        </w:numPr>
      </w:pPr>
      <w:hyperlink w:anchor="fig-profil">
        <w:r>
          <w:rPr>
            <w:rStyle w:val="Hyperlink"/>
          </w:rPr>
          <w:t xml:space="preserve">Figur 2</w:t>
        </w:r>
      </w:hyperlink>
      <w:r>
        <w:t xml:space="preserve"> </w:t>
      </w:r>
      <w:r>
        <w:t xml:space="preserve">viser et snit fra en midtoceanisk ryg til et kontinent. Find ud af, hvilken bjergart der hører til i hvert af felterne A–D, og udfyld</w:t>
      </w:r>
      <w:r>
        <w:t xml:space="preserve"> </w:t>
      </w:r>
      <w:hyperlink w:anchor="tbl-3">
        <w:r>
          <w:rPr>
            <w:rStyle w:val="Hyperlink"/>
          </w:rPr>
          <w:t xml:space="preserve">Tabel 3</w:t>
        </w:r>
      </w:hyperlink>
      <w:r>
        <w:t xml:space="preserve">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1" w:name="fig-profil"/>
          <w:p>
            <w:pPr>
              <w:pStyle w:val="Compact"/>
              <w:jc w:val="center"/>
            </w:pPr>
            <w:r>
              <w:drawing>
                <wp:inline>
                  <wp:extent cx="6096000" cy="2857500"/>
                  <wp:effectExtent b="0" l="0" r="0" t="0"/>
                  <wp:docPr descr="" title="" id="38" name="Picture"/>
                  <a:graphic>
                    <a:graphicData uri="http://schemas.openxmlformats.org/drawingml/2006/picture">
                      <pic:pic>
                        <pic:nvPicPr>
                          <pic:cNvPr descr="figurer/profil.svg" id="3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ns6:useLocalDpi val="0"/>
                              </a:ext>
                              <a:ext uri="{96DAC541-7B7A-43D3-8B79-37D633B846F1}">
                                <ns7:svgBlip r:embed="rId3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0" cy="285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 2: Snit fra en midtoceanisk ryg over oceanbunden til en subduktionszone under et kontinent. Pilene viser, hvordan pladerne bevæger sig.</w:t>
            </w:r>
          </w:p>
          <w:bookmarkEnd w:id="4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2" w:name="tbl-3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Tabel 3: Bjergarterne placeret i snittet.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1980"/>
              <w:gridCol w:w="1980"/>
              <w:gridCol w:w="1980"/>
              <w:gridCol w:w="1980"/>
            </w:tblGrid>
            <w:tr>
              <w:trPr>
                <w:cantSplit/>
                <w:tblHeader w:val="on"/>
              </w:trPr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Felt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Del af Jorden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Bjergart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Målt densitet (g/cm³)</w:t>
                  </w: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A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B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C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D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bookmarkEnd w:id="42"/>
          <w:p/>
        </w:tc>
      </w:tr>
    </w:tbl>
    <w:bookmarkEnd w:id="43"/>
    <w:bookmarkStart w:id="44" w:name="journalspørgsmål"/>
    <w:p>
      <w:pPr>
        <w:pStyle w:val="Heading2"/>
      </w:pPr>
      <w:r>
        <w:t xml:space="preserve">Journalspørgsmål</w:t>
      </w:r>
    </w:p>
    <w:p>
      <w:pPr>
        <w:pStyle w:val="Compact"/>
        <w:numPr>
          <w:ilvl w:val="0"/>
          <w:numId w:val="1008"/>
        </w:numPr>
      </w:pPr>
      <w:r>
        <w:t xml:space="preserve">Brug jeres målte densiteter til at forklare, hvorfor det altid er oceanbundspladen og aldrig kontinentet, der bliver presset ned i en subduktionszone.</w:t>
      </w:r>
    </w:p>
    <w:p>
      <w:pPr>
        <w:pStyle w:val="Compact"/>
        <w:numPr>
          <w:ilvl w:val="0"/>
          <w:numId w:val="1008"/>
        </w:numPr>
      </w:pPr>
      <w:r>
        <w:t xml:space="preserve">Basalten omdannes til eklogit, når den oceaniske plade er nået ned i dybden. Sammenlign eklogittens densitet med kappens (peridotittens). Hvad betyder forskellen for, om pladen synker videre af sig selv, og hvilken rolle spiller det som drivkraft for pladebevægelserne?</w:t>
      </w:r>
    </w:p>
    <w:p>
      <w:pPr>
        <w:pStyle w:val="Compact"/>
        <w:numPr>
          <w:ilvl w:val="0"/>
          <w:numId w:val="1008"/>
        </w:numPr>
      </w:pPr>
      <w:r>
        <w:t xml:space="preserve">De ældste bjergarter på kontinenterne er omkring 4 milliarder år gamle, mens den ældste oceanbund er under 200 millioner år gammel. Forklar forskellen ud fra jeres resultater.</w:t>
      </w:r>
    </w:p>
    <w:p>
      <w:pPr>
        <w:pStyle w:val="Compact"/>
        <w:numPr>
          <w:ilvl w:val="0"/>
          <w:numId w:val="1008"/>
        </w:numPr>
      </w:pPr>
      <w:r>
        <w:t xml:space="preserve">Kontinenterne ligger over havniveau, og oceanbunden ligger flere kilometer under. Hvordan kan forskellen i densitet være med til at forklare det?</w:t>
      </w:r>
    </w:p>
    <w:p>
      <w:pPr>
        <w:pStyle w:val="Compact"/>
        <w:numPr>
          <w:ilvl w:val="0"/>
          <w:numId w:val="1008"/>
        </w:numPr>
      </w:pPr>
      <w:r>
        <w:t xml:space="preserve">Hvor godt repræsenterer én håndstor sten en hel del af Jorden? Diskutér, hvad der kunne gøre jeres resultat mere sikkert.</w:t>
      </w:r>
    </w:p>
    <w:bookmarkEnd w:id="44"/>
    <w:sectPr>
      <w:headerReference r:id="rId7" w:type="default"/>
      <w:footerReference r:id="rId8" w:type="default"/>
      <w:pgSz w:h="16838" w:orient="portrait" w:w="11906"/>
      <w:pgMar w:bottom="1224" w:footer="500" w:gutter="0" w:header="500" w:left="1152" w:right="1152" w:top="1224"/>
      <w:pgNumType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="http://schemas.openxmlformats.org/wordprocessingml/2006/main">
  <w:p>
    <w:pPr>
      <w:pBdr>
        <w:top w:val="single" w:color="A9BBA1" w:sz="4" w:space="6"/>
      </w:pBdr>
      <w:tabs>
        <w:tab w:val="right" w:pos="9026"/>
      </w:tabs>
    </w:pPr>
    <w:r>
      <w:rPr>
        <w:rFonts w:ascii="Calibri" w:cs="Calibri" w:eastAsia="Calibri" w:hAnsi="Calibri"/>
        <w:i/>
        <w:iCs/>
        <w:color w:val="6B7A66"/>
        <w:sz w:val="16"/>
        <w:szCs w:val="16"/>
      </w:rPr>
      <w:t xml:space="preserve">Øvelsesvejledning</w:t>
    </w:r>
    <w:r>
      <w:rPr>
        <w:rFonts w:ascii="Calibri" w:cs="Calibri" w:eastAsia="Calibri" w:hAnsi="Calibri"/>
      </w:rPr>
      <w:t xml:space="preserve">	</w:t>
    </w:r>
    <w:r>
      <w:rPr>
        <w:rFonts w:ascii="Calibri" w:cs="Calibri" w:eastAsia="Calibri" w:hAnsi="Calibri"/>
        <w:color w:val="6B7A66"/>
        <w:sz w:val="16"/>
        <w:szCs w:val="16"/>
      </w:rPr>
      <w:t xml:space="preserve">Side </w:t>
    </w:r>
    <w:r>
      <w:rPr>
        <w:rFonts w:ascii="Calibri" w:cs="Calibri" w:eastAsia="Calibri" w:hAnsi="Calibri"/>
        <w:color w:val="6B7A6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66"/>
        <w:sz w:val="16"/>
        <w:szCs w:val="16"/>
      </w:rPr>
      <w:t xml:space="preserve"> af </w:t>
    </w:r>
    <w:r>
      <w:rPr>
        <w:rFonts w:ascii="Calibri" w:cs="Calibri" w:eastAsia="Calibri" w:hAnsi="Calibri"/>
        <w:color w:val="6B7A6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>
  <w:p>
    <w:pPr>
      <w:pBdr>
        <w:bottom w:val="single" w:color="A9BBA1" w:sz="4" w:space="6"/>
      </w:pBdr>
      <w:tabs>
        <w:tab w:val="right" w:pos="9026"/>
      </w:tabs>
      <w:spacing w:after="0"/>
    </w:pPr>
    <w:r>
      <w:rPr>
        <w:rFonts w:ascii="Calibri" w:cs="Calibri" w:eastAsia="Calibri" w:hAnsi="Calibri"/>
        <w:b/>
        <w:bCs/>
        <w:color w:val="6B7A66"/>
        <w:spacing w:val="18"/>
        <w:sz w:val="16"/>
        <w:szCs w:val="16"/>
      </w:rPr>
      <w:t xml:space="preserve">NATURGEOGRAFI</w:t>
    </w:r>
    <w:r>
      <w:rPr>
        <w:rFonts w:ascii="Calibri" w:cs="Calibri" w:eastAsia="Calibri" w:hAnsi="Calibri"/>
      </w:rPr>
      <w:t xml:space="preserve">	</w:t>
    </w:r>
    <w:r>
      <w:rPr>
        <w:rFonts w:ascii="Calibri" w:cs="Calibri" w:eastAsia="Calibri" w:hAnsi="Calibri"/>
        <w:color w:val="6B7A66"/>
        <w:spacing w:val="10"/>
        <w:sz w:val="16"/>
        <w:szCs w:val="16"/>
      </w:rPr>
      <w:t xml:space="preserve"/>
    </w:r>
  </w:p>
</w:hdr>
</file>

<file path=word/numbering.xml><?xml version="1.0" encoding="utf-8"?>
<w:numbering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15:restartNumberingAfterBreak="0" w:abstractNumId="1">
    <w:multiLevelType w:val="hybridMultilevel"/>
    <w:lvl w15:tentative="1" w:ilvl="0">
      <w:start w:val="1"/>
      <w:numFmt w:val="bullet"/>
      <w:lvlText w:val="●"/>
      <w:lvlJc w:val="left"/>
      <w:pPr>
        <w:ind w:hanging="360" w:left="720"/>
      </w:pPr>
    </w:lvl>
    <w:lvl w15:tentative="1" w:ilvl="1">
      <w:start w:val="1"/>
      <w:numFmt w:val="bullet"/>
      <w:lvlText w:val="○"/>
      <w:lvlJc w:val="left"/>
      <w:pPr>
        <w:ind w:hanging="360" w:left="1440"/>
      </w:pPr>
    </w:lvl>
    <w:lvl w15:tentative="1" w:ilvl="2">
      <w:start w:val="1"/>
      <w:numFmt w:val="bullet"/>
      <w:lvlText w:val="■"/>
      <w:lvlJc w:val="left"/>
      <w:pPr>
        <w:ind w:hanging="360" w:left="2160"/>
      </w:pPr>
    </w:lvl>
    <w:lvl w15:tentative="1" w:ilvl="3">
      <w:start w:val="1"/>
      <w:numFmt w:val="bullet"/>
      <w:lvlText w:val="●"/>
      <w:lvlJc w:val="left"/>
      <w:pPr>
        <w:ind w:hanging="360" w:left="2880"/>
      </w:pPr>
    </w:lvl>
    <w:lvl w15:tentative="1" w:ilvl="4">
      <w:start w:val="1"/>
      <w:numFmt w:val="bullet"/>
      <w:lvlText w:val="○"/>
      <w:lvlJc w:val="left"/>
      <w:pPr>
        <w:ind w:hanging="360" w:left="3600"/>
      </w:pPr>
    </w:lvl>
    <w:lvl w15:tentative="1" w:ilvl="5">
      <w:start w:val="1"/>
      <w:numFmt w:val="bullet"/>
      <w:lvlText w:val="■"/>
      <w:lvlJc w:val="left"/>
      <w:pPr>
        <w:ind w:hanging="360" w:left="4320"/>
      </w:pPr>
    </w:lvl>
    <w:lvl w15:tentative="1" w:ilvl="6">
      <w:start w:val="1"/>
      <w:numFmt w:val="bullet"/>
      <w:lvlText w:val="●"/>
      <w:lvlJc w:val="left"/>
      <w:pPr>
        <w:ind w:hanging="360" w:left="5040"/>
      </w:pPr>
    </w:lvl>
    <w:lvl w15:tentative="1" w:ilvl="7">
      <w:start w:val="1"/>
      <w:numFmt w:val="bullet"/>
      <w:lvlText w:val="●"/>
      <w:lvlJc w:val="left"/>
      <w:pPr>
        <w:ind w:hanging="360" w:left="5760"/>
      </w:pPr>
    </w:lvl>
    <w:lvl w15:tentative="1" w:ilvl="8">
      <w:start w:val="1"/>
      <w:numFmt w:val="bullet"/>
      <w:lvlText w:val="●"/>
      <w:lvlJc w:val="left"/>
      <w:pPr>
        <w:ind w:hanging="360" w:left="6480"/>
      </w:pPr>
    </w:lvl>
  </w:abstractNum>
  <w:abstractNum w15:restartNumberingAfterBreak="0" w:abstractNumId="2">
    <w:multiLevelType w:val="hybridMultilevel"/>
    <w:lvl w15:tentative="1" w:ilvl="0">
      <w:start w:val="1"/>
      <w:numFmt w:val="decimal"/>
      <w:lvlText w:val="%1."/>
      <w:lvlJc w:val="start"/>
      <w:pPr>
        <w:ind w:hanging="300" w:left="420"/>
      </w:pPr>
    </w:lvl>
  </w:abstractNum>
  <w:abstractNum w15:restartNumberingAfterBreak="0" w:abstractNumId="3">
    <w:multiLevelType w:val="hybridMultilevel"/>
    <w:lvl w15:tentative="1" w:ilvl="0">
      <w:start w:val="1"/>
      <w:numFmt w:val="bullet"/>
      <w:lvlText w:val="–"/>
      <w:lvlJc w:val="start"/>
      <w:pPr>
        <w:ind w:hanging="200" w:left="32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6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displayBackgroundShape/>
  <w:embedSystemFonts/>
  <w:proofState w:grammar="clean" w:spelling="clean"/>
  <w:stylePaneFormatFilter w:val="0004"/>
  <w:doNotTrackMoves/>
  <w:defaultTabStop w:val="720"/>
  <w:evenAndOddHeaders w:val="false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5"/>
  </w:compat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6332B"/>
        <w:sz w:val="22"/>
        <w:szCs w:val="22"/>
        <w:lang w:val="da"/>
      </w:rPr>
    </w:rPrDefault>
    <w:pPrDefault>
      <w:pPr>
        <w:spacing w:after="140" w:line="276" w:lineRule="auto"/>
      </w:pPr>
    </w:pPrDefault>
  </w:docDefaults>
  <w:style w:default="1" w:styleId="Normal" w:type="paragraph">
    <w:name w:val="Normal"/>
    <w:qFormat/>
  </w:style>
  <w:style w:styleId="Title" w:type="paragraph">
    <w:name w:val="Title"/>
    <w:basedOn w:val="Normal"/>
    <w:next w:val="Normal"/>
    <w:qFormat/>
    <w:pPr>
      <w:spacing w:after="80" w:before="40"/>
    </w:pPr>
    <w:rPr>
      <w:b/>
      <w:bCs/>
      <w:color w:val="2C4527"/>
      <w:sz w:val="52"/>
      <w:szCs w:val="52"/>
    </w:rPr>
  </w:style>
  <w:style w:styleId="Subtitle" w:type="paragraph">
    <w:name w:val="Subtitle"/>
    <w:basedOn w:val="Normal"/>
    <w:next w:val="Normal"/>
    <w:qFormat/>
    <w:pPr>
      <w:spacing w:after="220" w:before="0"/>
    </w:pPr>
    <w:rPr>
      <w:color w:val="6B7A66"/>
      <w:sz w:val="20"/>
    </w:rPr>
  </w:style>
  <w:style w:styleId="Heading1" w:type="paragraph">
    <w:name w:val="Heading 1"/>
    <w:basedOn w:val="Normal"/>
    <w:next w:val="Normal"/>
    <w:qFormat/>
    <w:pPr>
      <w:pBdr>
        <w:left w:color="3F5F3A" w:space="8" w:sz="18" w:val="single"/>
      </w:pBdr>
      <w:spacing w:after="140" w:before="320"/>
      <w:ind w:left="140"/>
    </w:pPr>
    <w:rPr>
      <w:b/>
      <w:bCs/>
      <w:color w:val="2C4527"/>
      <w:sz w:val="32"/>
      <w:szCs w:val="32"/>
    </w:rPr>
  </w:style>
  <w:style w:styleId="Heading2" w:type="paragraph">
    <w:name w:val="Heading 2"/>
    <w:basedOn w:val="Normal"/>
    <w:next w:val="Normal"/>
    <w:qFormat/>
    <w:pPr>
      <w:pBdr>
        <w:left w:color="3F5F3A" w:space="8" w:sz="18" w:val="single"/>
      </w:pBdr>
      <w:spacing w:after="120" w:before="300"/>
      <w:ind w:left="140"/>
    </w:pPr>
    <w:rPr>
      <w:b/>
      <w:bCs/>
      <w:color w:val="2C4527"/>
      <w:sz w:val="27"/>
      <w:szCs w:val="27"/>
    </w:rPr>
  </w:style>
  <w:style w:styleId="Heading3" w:type="paragraph">
    <w:name w:val="Heading 3"/>
    <w:basedOn w:val="Normal"/>
    <w:next w:val="Normal"/>
    <w:qFormat/>
    <w:pPr>
      <w:spacing w:after="100" w:before="200"/>
    </w:pPr>
    <w:rPr>
      <w:b/>
      <w:bCs/>
      <w:color w:val="3F5F3A"/>
      <w:sz w:val="24"/>
      <w:szCs w:val="24"/>
    </w:rPr>
  </w:style>
  <w:style w:styleId="Heading4" w:type="paragraph">
    <w:name w:val="Heading 4"/>
    <w:basedOn w:val="Normal"/>
    <w:next w:val="Normal"/>
    <w:qFormat/>
    <w:rPr>
      <w:i/>
      <w:iCs/>
      <w:color w:val="3F5F3A"/>
    </w:rPr>
  </w:style>
  <w:style w:styleId="Heading5" w:type="paragraph">
    <w:name w:val="Heading 5"/>
    <w:basedOn w:val="Normal"/>
    <w:next w:val="Normal"/>
    <w:qFormat/>
    <w:rPr>
      <w:color w:val="3F5F3A"/>
    </w:rPr>
  </w:style>
  <w:style w:styleId="Heading6" w:type="paragraph">
    <w:name w:val="Heading 6"/>
    <w:basedOn w:val="Normal"/>
    <w:next w:val="Normal"/>
    <w:qFormat/>
    <w:rPr>
      <w:color w:val="6B7A66"/>
    </w:rPr>
  </w:style>
  <w:style w:styleId="Strong" w:type="paragraph">
    <w:name w:val="Strong"/>
    <w:basedOn w:val="Normal"/>
    <w:next w:val="Normal"/>
    <w:qFormat/>
    <w:rPr>
      <w:b/>
      <w:bCs/>
    </w:rPr>
  </w:style>
  <w:style w:styleId="ListParagraph" w:type="paragraph">
    <w:name w:val="List Paragraph"/>
    <w:basedOn w:val="Normal"/>
    <w:qFormat/>
  </w:style>
  <w:style w:styleId="BodyText" w:type="paragraph">
    <w:name w:val="Body Text"/>
    <w:basedOn w:val="Normal"/>
    <w:next w:val="Normal"/>
    <w:qFormat/>
  </w:style>
  <w:style w:styleId="FirstParagraph" w:type="paragraph">
    <w:name w:val="First Paragraph"/>
    <w:basedOn w:val="Normal"/>
    <w:next w:val="Normal"/>
    <w:qFormat/>
    <w:pPr>
      <w:spacing w:before="0"/>
    </w:pPr>
  </w:style>
  <w:style w:styleId="Compact" w:type="paragraph">
    <w:name w:val="Compact"/>
    <w:basedOn w:val="ListParagraph"/>
    <w:next w:val="Compact"/>
    <w:qFormat/>
    <w:pPr>
      <w:spacing w:after="90" w:line="276" w:lineRule="auto"/>
    </w:pPr>
  </w:style>
  <w:style w:styleId="CaptionedFigure" w:type="paragraph">
    <w:name w:val="Captioned Figure"/>
    <w:basedOn w:val="Normal"/>
    <w:next w:val="Normal"/>
    <w:qFormat/>
    <w:pPr>
      <w:spacing w:after="0" w:before="120"/>
      <w:jc w:val="center"/>
    </w:pPr>
  </w:style>
  <w:style w:styleId="Caption" w:type="paragraph">
    <w:name w:val="Caption"/>
    <w:basedOn w:val="Normal"/>
    <w:next w:val="Normal"/>
    <w:qFormat/>
    <w:pPr>
      <w:spacing w:after="220" w:before="100"/>
      <w:jc w:val="center"/>
    </w:pPr>
    <w:rPr>
      <w:i/>
      <w:iCs/>
      <w:color w:val="6B7A66"/>
      <w:sz w:val="19"/>
      <w:szCs w:val="19"/>
    </w:rPr>
  </w:style>
  <w:style w:styleId="ImageCaption" w:type="paragraph">
    <w:name w:val="Image Caption"/>
    <w:basedOn w:val="Caption"/>
    <w:next w:val="Normal"/>
    <w:qFormat/>
  </w:style>
  <w:style w:styleId="Table" w:type="table">
    <w:name w:val="Table"/>
    <w:basedOn w:val="TableNormal"/>
    <w:uiPriority w:val="99"/>
    <w:pPr>
      <w:spacing w:after="0" w:line="256" w:lineRule="auto"/>
    </w:pPr>
    <w:tblPr>
      <w:tblBorders>
        <w:top w:color="8FA085" w:space="0" w:sz="4" w:val="single"/>
        <w:left w:color="8FA085" w:space="0" w:sz="4" w:val="single"/>
        <w:bottom w:color="8FA085" w:space="0" w:sz="4" w:val="single"/>
        <w:right w:color="8FA085" w:space="0" w:sz="4" w:val="single"/>
        <w:insideH w:color="C7D0C0" w:space="0" w:sz="4" w:val="single"/>
        <w:insideV w:color="C7D0C0" w:space="0" w:sz="4" w:val="single"/>
      </w:tblBorders>
    </w:tblPr>
    <w:tcPr>
      <w:tcMar>
        <w:top w:type="dxa" w:w="90"/>
        <w:left w:type="dxa" w:w="120"/>
        <w:bottom w:type="dxa" w:w="90"/>
        <w:right w:type="dxa" w:w="120"/>
      </w:tcMar>
    </w:tcPr>
  </w:style>
  <w:style w:default="1" w:styleId="TableNormal" w:type="table">
    <w:name w:val="Normal Table"/>
    <w:uiPriority w:val="99"/>
    <w:semiHidden/>
    <w:unhideWhenUsed/>
    <w:tblPr>
      <w:tblCellMar>
        <w:top w:type="dxa" w:w="0"/>
        <w:left w:type="dxa" w:w="108"/>
        <w:bottom w:type="dxa" w:w="0"/>
        <w:right w:type="dxa" w:w="108"/>
      </w:tblCellMar>
    </w:tblPr>
  </w:style>
  <w:style w:styleId="FirstRow" w:type="table">
    <w:name w:val="First Row"/>
    <w:basedOn w:val="Table"/>
    <w:uiPriority w:val="99"/>
  </w:style>
  <w:style w:styleId="Hyperlink" w:type="character">
    <w:name w:val="Hyperlink"/>
    <w:basedOn w:val="DefaultParagraphFont"/>
    <w:uiPriority w:val="99"/>
    <w:unhideWhenUsed/>
    <w:rPr>
      <w:color w:val="1F5F8B"/>
      <w:u w:val="single"/>
    </w:rPr>
  </w:style>
  <w:style w:styleId="FootnoteReference" w:type="character">
    <w:name w:val="footnote reference"/>
    <w:basedOn w:val="DefaultParagraphFont"/>
    <w:uiPriority w:val="99"/>
    <w:semiHidden/>
    <w:unhideWhenUsed/>
    <w:rPr>
      <w:vertAlign w:val="superscript"/>
    </w:rPr>
  </w:style>
  <w:style w:styleId="FootnoteText" w:type="paragraph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styleId="FootnoteTextChar" w:type="characte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styleId="EndnoteReference" w:type="character">
    <w:name w:val="endnote reference"/>
    <w:basedOn w:val="DefaultParagraphFont"/>
    <w:uiPriority w:val="99"/>
    <w:semiHidden/>
    <w:unhideWhenUsed/>
    <w:rPr>
      <w:vertAlign w:val="superscript"/>
    </w:rPr>
  </w:style>
  <w:style w:styleId="EndnoteText" w:type="paragraph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styleId="EndnoteTextChar" w:type="characte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8" Target="numbering.xml" /><Relationship Type="http://schemas.openxmlformats.org/officeDocument/2006/relationships/styles" Id="rId17" Target="styles.xml" /><Relationship Type="http://schemas.openxmlformats.org/officeDocument/2006/relationships/settings" Id="rId16" Target="settings.xml" /><Relationship Type="http://schemas.openxmlformats.org/officeDocument/2006/relationships/webSettings" Id="rId15" Target="webSettings.xml" /><Relationship Type="http://schemas.openxmlformats.org/officeDocument/2006/relationships/fontTable" Id="rId14" Target="fontTable.xml" /><Relationship Type="http://schemas.openxmlformats.org/officeDocument/2006/relationships/theme" Id="rId13" Target="theme/theme1.xml" /><Relationship Type="http://schemas.openxmlformats.org/officeDocument/2006/relationships/footnotes" Id="rId12" Target="footnotes.xml" /><Relationship Type="http://schemas.openxmlformats.org/officeDocument/2006/relationships/comments" Id="rId11" Target="comments.xml" /><Relationship Id="rId7" Target="header1.xml" Type="http://schemas.openxmlformats.org/officeDocument/2006/relationships/header" /><Relationship Id="rId8" Target="footer1.xml" Type="http://schemas.openxmlformats.org/officeDocument/2006/relationships/footer" /><Relationship Id="rId9" Target="media/ff4355ab3d7b3fb047ac1bb9b81f09919282c810.png" Type="http://schemas.openxmlformats.org/officeDocument/2006/relationships/image" /><Relationship Id="rId10" Target="media/22118e1eede36edf4136c10d3e20d9ff95fafa9e.png" Type="http://schemas.openxmlformats.org/officeDocument/2006/relationships/image" /><Relationship Type="http://schemas.openxmlformats.org/officeDocument/2006/relationships/image" Id="rId26" Target="media/rId26.png" /><Relationship Type="http://schemas.openxmlformats.org/officeDocument/2006/relationships/image" Id="rId30" Target="media/rId30.png" /><Relationship Type="http://schemas.openxmlformats.org/officeDocument/2006/relationships/image" Id="rId20" Target="media/rId20.svg" /><Relationship Type="http://schemas.openxmlformats.org/officeDocument/2006/relationships/image" Id="rId37" Target="media/rId37.svg" /><Relationship Type="http://schemas.openxmlformats.org/officeDocument/2006/relationships/image" Id="rId23" Target="media/rId23.png" /><Relationship Type="http://schemas.openxmlformats.org/officeDocument/2006/relationships/image" Id="rId40" Target="media/rId40.png" 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 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Bjergarternes densitet</dc:title>
  <dc:creator/>
  <dc:language>da</dc:language>
  <cp:keywords/>
  <dcterms:created xsi:type="dcterms:W3CDTF">2026-10-01T21:24:27Z</dcterms:created>
  <dcterms:modified xsi:type="dcterms:W3CDTF">2026-10-01T21:24:27Z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doc-type">
    <vt:lpwstr>Øvelsesvejledning</vt:lpwstr>
  </property>
  <property fmtid="{D5CDD505-2E9C-101B-9397-08002B2CF9AE}" pid="4" name="fag">
    <vt:lpwstr>Naturgeografi</vt:lpwstr>
  </property>
  <property fmtid="{D5CDD505-2E9C-101B-9397-08002B2CF9AE}" pid="5" name="header-includes">
    <vt:lpwstr/>
  </property>
  <property fmtid="{D5CDD505-2E9C-101B-9397-08002B2CF9AE}" pid="6" name="hold">
    <vt:lpwstr/>
  </property>
  <property fmtid="{D5CDD505-2E9C-101B-9397-08002B2CF9AE}" pid="7" name="include-after">
    <vt:lpwstr/>
  </property>
  <property fmtid="{D5CDD505-2E9C-101B-9397-08002B2CF9AE}" pid="8" name="include-before">
    <vt:lpwstr/>
  </property>
  <property fmtid="{D5CDD505-2E9C-101B-9397-08002B2CF9AE}" pid="9" name="labels">
    <vt:lpwstr/>
  </property>
  <property fmtid="{D5CDD505-2E9C-101B-9397-08002B2CF9AE}" pid="10" name="subtitle">
    <vt:lpwstr>Hvorfor synker oceanbunden, mens kontinenterne bliver liggende?</vt:lpwstr>
  </property>
  <property fmtid="{D5CDD505-2E9C-101B-9397-08002B2CF9AE}" pid="11" name="toc-title">
    <vt:lpwstr>Indholdsfortegnelse</vt:lpwstr>
  </property>
</Properties>
</file>