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media/rId30.png" ContentType="image/png"/>
  <Override PartName="/word/media/rId27.png" ContentType="image/png"/>
  <Override PartName="/word/media/rId24.png" ContentType="image/png"/>
  <Override PartName="/word/media/rId19.png" ContentType="image/png"/>
  <Override PartName="/word/media/ff4355ab3d7b3fb047ac1bb9b81f09919282c810.png" ContentType="image/png"/>
  <Override PartName="/word/media/22118e1eede36edf4136c10d3e20d9ff95fafa9e.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a="http://schemas.openxmlformats.org/drawingml/2006/main" xmlns:m="http://schemas.openxmlformats.org/officeDocument/2006/math" xmlns:pic="http://schemas.openxmlformats.org/drawingml/2006/picture" xmlns:r="http://schemas.openxmlformats.org/officeDocument/2006/relationships" xmlns:w="http://schemas.openxmlformats.org/wordprocessingml/2006/main" xmlns:wp="http://schemas.openxmlformats.org/drawingml/2006/wordprocessingDrawing">
  <w:body>
    <w:p>
      <w:pPr>
        <w:pStyle w:val="Title"/>
      </w:pPr>
      <w:r>
        <w:t xml:space="preserve">Vitalkapacitet</w:t>
      </w:r>
    </w:p>
    <w:p>
      <w:pPr>
        <w:pStyle w:val="Subtitle"/>
      </w:pPr>
      <w:r>
        <w:t xml:space="preserve">Måling med lommespirometer</w:t>
      </w:r>
    </w:p>
    <w:p>
      <w:pPr>
        <w:pStyle w:val="FirstParagraph"/>
      </w:pPr>
      <w:r>
        <w:rPr>
          <w:b/>
          <w:bCs/>
        </w:rPr>
        <w:t xml:space="preserve">Dato:</w:t>
      </w:r>
      <w:r>
        <w:t xml:space="preserve"> </w:t>
      </w:r>
      <w:r>
        <w:t xml:space="preserve">____________________     </w:t>
      </w:r>
      <w:r>
        <w:t xml:space="preserve"> </w:t>
      </w:r>
      <w:r>
        <w:rPr>
          <w:b/>
          <w:bCs/>
        </w:rPr>
        <w:t xml:space="preserve">Gruppe / navne:</w:t>
      </w:r>
      <w:r>
        <w:t xml:space="preserve"> </w:t>
      </w:r>
      <w:r>
        <w:t xml:space="preserve">____________________________________________</w:t>
      </w:r>
    </w:p>
    <w:bookmarkStart w:id="23" w:name="om-øvelsen"/>
    <w:p>
      <w:pPr>
        <w:pStyle w:val="Heading2"/>
      </w:pPr>
      <w:r>
        <w:t xml:space="preserve">Om øvelsen</w:t>
      </w:r>
    </w:p>
    <w:p>
      <w:pPr>
        <w:pStyle w:val="FirstParagraph"/>
      </w:pPr>
      <w:r>
        <w:t xml:space="preserve">Vitalkapaciteten er den største luftmængde, man kan puste ud efter en maksimal indånding — altså den største respirationsdybde, en person kan præstere. Den måles i liter og er et udtryk for, hvor stor en luftmængde der er til rådighed i lungerne til at skaffe kroppen ny, livsvigtig (= vital) ilt. I skal måle jeres egen vitalkapacitet med et lommespirometer og samle klassens målinger, så I kan sammenligne kønnene og undersøge, om vitalkapaciteten hænger sammen med højden.</w:t>
      </w:r>
    </w:p>
    <w:tbl>
      <w:tblPr>
        <w:tblStyle w:val="Table"/>
        <w:tblW w:type="pct" w:w="5000"/>
        <w:tblLayout w:type="fixed"/>
        <w:tblLook w:firstRow="0" w:lastRow="0" w:firstColumn="0" w:lastColumn="0" w:noHBand="0" w:noVBand="0" w:val="0000"/>
      </w:tblPr>
      <w:tblGrid>
        <w:gridCol w:w="7920"/>
      </w:tblGrid>
      <w:tr>
        <w:tc>
          <w:tcPr/>
          <w:bookmarkStart w:id="22" w:name="fig-lungevolumener"/>
          <w:p>
            <w:pPr>
              <w:pStyle w:val="Compact"/>
              <w:jc w:val="center"/>
            </w:pPr>
            <w:r>
              <w:drawing>
                <wp:inline>
                  <wp:extent cx="5791200" cy="2959946"/>
                  <wp:effectExtent b="0" l="0" r="0" t="0"/>
                  <wp:docPr descr="" title="" id="20" name="Picture"/>
                  <a:graphic>
                    <a:graphicData uri="http://schemas.openxmlformats.org/drawingml/2006/picture">
                      <pic:pic>
                        <pic:nvPicPr>
                          <pic:cNvPr descr="figurer/lungevolumener.png" id="21" name="Picture"/>
                          <pic:cNvPicPr>
                            <a:picLocks noChangeArrowheads="1" noChangeAspect="1"/>
                          </pic:cNvPicPr>
                        </pic:nvPicPr>
                        <pic:blipFill>
                          <a:blip r:embed="rId19"/>
                          <a:stretch>
                            <a:fillRect/>
                          </a:stretch>
                        </pic:blipFill>
                        <pic:spPr bwMode="auto">
                          <a:xfrm>
                            <a:off x="0" y="0"/>
                            <a:ext cx="5791200" cy="2959946"/>
                          </a:xfrm>
                          <a:prstGeom prst="rect">
                            <a:avLst/>
                          </a:prstGeom>
                          <a:noFill/>
                          <a:ln w="9525">
                            <a:noFill/>
                            <a:headEnd/>
                            <a:tailEnd/>
                          </a:ln>
                        </pic:spPr>
                      </pic:pic>
                    </a:graphicData>
                  </a:graphic>
                </wp:inline>
              </w:drawing>
            </w:r>
          </w:p>
          <w:p>
            <w:pPr>
              <w:jc w:val="center"/>
            </w:pPr>
            <w:pPr>
              <w:jc w:val="left"/>
              <w:spacing w:before="200"/>
              <w:pStyle w:val="ImageCaption"/>
            </w:pPr>
            <w:r>
              <w:t xml:space="preserve">Figur 1: Lungevolumener under roligt åndedræt og ved én maksimal ind- og udånding. Vitalkapaciteten er forskellen mellem den største og den mindste luftmængde, lungerne kan rumme. Residualluften kan ikke pustes ud og tæller derfor ikke med.</w:t>
            </w:r>
          </w:p>
          <w:bookmarkEnd w:id="22"/>
        </w:tc>
      </w:tr>
    </w:tbl>
    <w:p>
      <w:pPr>
        <w:pStyle w:val="BodyText"/>
      </w:pPr>
      <w:r>
        <w:t xml:space="preserve">Hos voksne kvinder ligger vitalkapaciteten normalt mellem 3 og 5 liter, hos mænd mellem 4 og 6 liter. Store og kraftige personer har naturligt større lunger, og lungefunktionen falder med alderen, fordi brystkassen bliver mindre bevægelig og åndedrætsmuskulaturen svækkes. Lungernes størrelse er i det væsentlige arveligt bestemt, men de muskler, sener og led, der medvirker ved den kraftige ind- og udånding, kan trænes — derfor har veltrænede personer alligevel ofte en større vitalkapacitet.</w:t>
      </w:r>
    </w:p>
    <w:p>
      <w:pPr>
        <w:pStyle w:val="BodyText"/>
      </w:pPr>
      <w:r>
        <w:t xml:space="preserve">Et spirometer (af latin</w:t>
      </w:r>
      <w:r>
        <w:t xml:space="preserve"> </w:t>
      </w:r>
      <w:r>
        <w:rPr>
          <w:i/>
          <w:iCs/>
        </w:rPr>
        <w:t xml:space="preserve">spirare</w:t>
      </w:r>
      <w:r>
        <w:t xml:space="preserve"> </w:t>
      </w:r>
      <w:r>
        <w:t xml:space="preserve">= ånde og</w:t>
      </w:r>
      <w:r>
        <w:t xml:space="preserve"> </w:t>
      </w:r>
      <w:r>
        <w:rPr>
          <w:i/>
          <w:iCs/>
        </w:rPr>
        <w:t xml:space="preserve">metrum</w:t>
      </w:r>
      <w:r>
        <w:t xml:space="preserve"> </w:t>
      </w:r>
      <w:r>
        <w:t xml:space="preserve">= måle) måler den luftmængde, der skiftes ud ved ind- og udånding. Lommespirometret er en lille, mekanisk udgave: man blæser i et mundstykke, og luftmængden aflæses direkte på en skala forrest på apparatet.</w:t>
      </w:r>
    </w:p>
    <w:bookmarkEnd w:id="23"/>
    <w:bookmarkStart w:id="33" w:name="fremgangsmåde"/>
    <w:p>
      <w:pPr>
        <w:pStyle w:val="Heading2"/>
      </w:pPr>
      <w:r>
        <w:t xml:space="preserve">Fremgangsmåde</w:t>
      </w:r>
    </w:p>
    <w:p>
      <w:pPr>
        <w:pStyle w:val="Compact"/>
        <w:numPr>
          <w:ilvl w:val="0"/>
          <w:numId w:val="1001"/>
        </w:numPr>
      </w:pPr>
      <w:r>
        <w:t xml:space="preserve">Mål jeres højde uden sko, og notér den sammen med køn og alder i skemaet.</w:t>
      </w:r>
    </w:p>
    <w:p>
      <w:pPr>
        <w:pStyle w:val="Compact"/>
        <w:numPr>
          <w:ilvl w:val="0"/>
          <w:numId w:val="1001"/>
        </w:numPr>
      </w:pPr>
      <w:r>
        <w:t xml:space="preserve">Sæt et nyt engangsmundstykke på lommespirometret, og stil jer op.</w:t>
      </w:r>
    </w:p>
    <w:p>
      <w:pPr>
        <w:pStyle w:val="Compact"/>
        <w:numPr>
          <w:ilvl w:val="0"/>
          <w:numId w:val="1001"/>
        </w:numPr>
      </w:pPr>
      <w:r>
        <w:t xml:space="preserve">Nulstil apparatet ved at dreje på skiven, så målepilen står ud for nul på skalaen.</w:t>
      </w:r>
    </w:p>
    <w:p>
      <w:pPr>
        <w:pStyle w:val="Compact"/>
        <w:numPr>
          <w:ilvl w:val="0"/>
          <w:numId w:val="1001"/>
        </w:numPr>
      </w:pPr>
      <w:r>
        <w:t xml:space="preserve">Tag et par dybe indåndinger.</w:t>
      </w:r>
    </w:p>
    <w:p>
      <w:pPr>
        <w:pStyle w:val="Compact"/>
        <w:numPr>
          <w:ilvl w:val="0"/>
          <w:numId w:val="1001"/>
        </w:numPr>
      </w:pPr>
      <w:r>
        <w:t xml:space="preserve">Placér mundstykket i munden efter den sidste dybe indånding, og luk læberne tæt om det.</w:t>
      </w:r>
    </w:p>
    <w:p>
      <w:pPr>
        <w:pStyle w:val="Compact"/>
        <w:numPr>
          <w:ilvl w:val="0"/>
          <w:numId w:val="1001"/>
        </w:numPr>
      </w:pPr>
      <w:r>
        <w:t xml:space="preserve">Blæs støt og kraftigt, så længe I kan, og pres så meget luft ud af lungerne som muligt. Udåndingen skal være jævn og være afsluttet i løbet af 5–6 sekunder.</w:t>
      </w:r>
    </w:p>
    <w:p>
      <w:pPr>
        <w:pStyle w:val="Compact"/>
        <w:numPr>
          <w:ilvl w:val="0"/>
          <w:numId w:val="1001"/>
        </w:numPr>
      </w:pPr>
      <w:r>
        <w:t xml:space="preserve">Aflæs værdien i liter, og notér den. Nulstil apparatet, og gentag målingen i alt tre gange — I behøver ikke skifte mundstykke mellem jeres egne målinger.</w:t>
      </w:r>
    </w:p>
    <w:p>
      <w:pPr>
        <w:pStyle w:val="Compact"/>
        <w:numPr>
          <w:ilvl w:val="0"/>
          <w:numId w:val="1001"/>
        </w:numPr>
      </w:pPr>
      <w:r>
        <w:t xml:space="preserve">Brug den højeste af de tre målinger som jeres vitalkapacitet, og skriv den i klassens skema.</w:t>
      </w:r>
    </w:p>
    <w:p>
      <w:pPr>
        <w:pStyle w:val="Compact"/>
        <w:numPr>
          <w:ilvl w:val="0"/>
          <w:numId w:val="1001"/>
        </w:numPr>
      </w:pPr>
      <w:r>
        <w:t xml:space="preserve">Tør mundstykket og apparatet af med sprit og papir efter brug.</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keepNext/>
            </w:pPr>
            <w:pPr>
              <w:spacing w:before="0" w:after="0"/>
              <w:textAlignment w:val="center"/>
            </w:pPr>
            <w:r>
              <w:drawing>
                <wp:inline>
                  <wp:extent cx="152400" cy="152400"/>
                  <wp:effectExtent b="0" l="0" r="0" t="0"/>
                  <wp:docPr descr="" title="" id="25" name="Picture"/>
                  <a:graphic>
                    <a:graphicData uri="http://schemas.openxmlformats.org/drawingml/2006/picture">
                      <pic:pic>
                        <pic:nvPicPr>
                          <pic:cNvPr descr="/Applications/quarto/share/formats/docx/tip.png" id="26" name="Picture"/>
                          <pic:cNvPicPr>
                            <a:picLocks noChangeArrowheads="1" noChangeAspect="1"/>
                          </pic:cNvPicPr>
                        </pic:nvPicPr>
                        <pic:blipFill>
                          <a:blip r:embed="rId2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Tip</w:t>
            </w:r>
          </w:p>
        </w:tc>
      </w:tr>
      <w:tr>
        <w:trPr>
          <w:cantSplit/>
        </w:trPr>
        <w:tc>
          <w:tcPr>
            <w:tcMar>
              <w:top w:w="108" w:type="dxa"/>
              <w:bottom w:w="108" w:type="dxa"/>
            </w:tcMar>
          </w:tcPr>
          <w:p>
            <w:pPr>
              <w:pStyle w:val="Compact"/>
              <w:numPr>
                <w:ilvl w:val="0"/>
                <w:numId w:val="1002"/>
              </w:numPr>
            </w:pPr>
            <w:r>
              <w:t xml:space="preserve">Læberne skal slutte helt tæt om mundstykket. Slipper der luft ud ved siden af, bliver målingen for lav.</w:t>
            </w:r>
          </w:p>
          <w:p>
            <w:pPr>
              <w:pStyle w:val="Compact"/>
              <w:numPr>
                <w:ilvl w:val="0"/>
                <w:numId w:val="1002"/>
              </w:numPr>
            </w:pPr>
            <w:r>
              <w:t xml:space="preserve">Stå oprejst under målingen. Sidder man sammensunket, kan brystkassen ikke udvide sig frit, og resultatet bliver for lille.</w:t>
            </w:r>
          </w:p>
          <w:p>
            <w:pPr>
              <w:pStyle w:val="Compact"/>
              <w:numPr>
                <w:ilvl w:val="0"/>
                <w:numId w:val="1002"/>
              </w:numPr>
            </w:pPr>
            <w:r>
              <w:t xml:space="preserve">Hold en pause på et halvt minut mellem de tre målinger, så I ikke bliver svimle.</w:t>
            </w:r>
          </w:p>
          <w:p>
            <w:pPr>
              <w:pStyle w:val="Compact"/>
              <w:numPr>
                <w:ilvl w:val="0"/>
                <w:numId w:val="1002"/>
              </w:numPr>
            </w:pPr>
            <w:r>
              <w:t xml:space="preserve">Alle i klassen skal måle på samme spirometer og måle højden med samme målebånd — ellers kan tallene ikke sammenlignes.</w:t>
            </w:r>
          </w:p>
          <w:p/>
        </w:tc>
      </w:tr>
    </w:tbl>
    <w:p>
      <w:pPr>
        <w:pStyle w:val="FirstParagraph"/>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keepNext/>
            </w:pPr>
            <w:pPr>
              <w:spacing w:before="0" w:after="0"/>
              <w:textAlignment w:val="center"/>
            </w:pPr>
            <w:r>
              <w:drawing>
                <wp:inline>
                  <wp:extent cx="152400" cy="152400"/>
                  <wp:effectExtent b="0" l="0" r="0" t="0"/>
                  <wp:docPr descr="" title="" id="28" name="Picture"/>
                  <a:graphic>
                    <a:graphicData uri="http://schemas.openxmlformats.org/drawingml/2006/picture">
                      <pic:pic>
                        <pic:nvPicPr>
                          <pic:cNvPr descr="/Applications/quarto/share/formats/docx/note.png" id="29" name="Picture"/>
                          <pic:cNvPicPr>
                            <a:picLocks noChangeArrowheads="1" noChangeAspect="1"/>
                          </pic:cNvPicPr>
                        </pic:nvPicPr>
                        <pic:blipFill>
                          <a:blip r:embed="rId2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Materialer (pr. gruppe)</w:t>
            </w:r>
          </w:p>
        </w:tc>
      </w:tr>
      <w:tr>
        <w:trPr>
          <w:cantSplit/>
        </w:trPr>
        <w:tc>
          <w:tcPr>
            <w:tcMar>
              <w:top w:w="108" w:type="dxa"/>
              <w:bottom w:w="108" w:type="dxa"/>
            </w:tcMar>
          </w:tcPr>
          <w:p>
            <w:pPr>
              <w:pStyle w:val="Compact"/>
              <w:numPr>
                <w:ilvl w:val="0"/>
                <w:numId w:val="1003"/>
              </w:numPr>
            </w:pPr>
            <w:r>
              <w:t xml:space="preserve">Lommespirometer</w:t>
            </w:r>
          </w:p>
          <w:p>
            <w:pPr>
              <w:pStyle w:val="Compact"/>
              <w:numPr>
                <w:ilvl w:val="0"/>
                <w:numId w:val="1003"/>
              </w:numPr>
            </w:pPr>
            <w:r>
              <w:t xml:space="preserve">Engangsmundstykker — ét pr. person</w:t>
            </w:r>
          </w:p>
          <w:p>
            <w:pPr>
              <w:pStyle w:val="Compact"/>
              <w:numPr>
                <w:ilvl w:val="0"/>
                <w:numId w:val="1003"/>
              </w:numPr>
            </w:pPr>
            <w:r>
              <w:t xml:space="preserve">Sprit og papir til aftørring</w:t>
            </w:r>
          </w:p>
          <w:p>
            <w:pPr>
              <w:pStyle w:val="Compact"/>
              <w:numPr>
                <w:ilvl w:val="0"/>
                <w:numId w:val="1003"/>
              </w:numPr>
            </w:pPr>
            <w:r>
              <w:t xml:space="preserve">Målebånd eller højdemåler</w:t>
            </w:r>
          </w:p>
          <w:p/>
        </w:tc>
      </w:tr>
    </w:tbl>
    <w:p>
      <w:pPr>
        <w:pStyle w:val="FirstParagraph"/>
      </w:pPr>
      <w:r>
        <w:t xml:space="preserve"> </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keepNext/>
            </w:pPr>
            <w:pPr>
              <w:spacing w:before="0" w:after="0"/>
              <w:textAlignment w:val="center"/>
            </w:pPr>
            <w:r>
              <w:drawing>
                <wp:inline>
                  <wp:extent cx="152400" cy="152400"/>
                  <wp:effectExtent b="0" l="0" r="0" t="0"/>
                  <wp:docPr descr="" title="" id="31" name="Picture"/>
                  <a:graphic>
                    <a:graphicData uri="http://schemas.openxmlformats.org/drawingml/2006/picture">
                      <pic:pic>
                        <pic:nvPicPr>
                          <pic:cNvPr descr="/Applications/quarto/share/formats/docx/important.png" id="32" name="Picture"/>
                          <pic:cNvPicPr>
                            <a:picLocks noChangeArrowheads="1" noChangeAspect="1"/>
                          </pic:cNvPicPr>
                        </pic:nvPicPr>
                        <pic:blipFill>
                          <a:blip r:embed="rId3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Sikkerhed</w:t>
            </w:r>
          </w:p>
        </w:tc>
      </w:tr>
      <w:tr>
        <w:trPr>
          <w:cantSplit/>
        </w:trPr>
        <w:tc>
          <w:tcPr>
            <w:tcMar>
              <w:top w:w="108" w:type="dxa"/>
              <w:bottom w:w="108" w:type="dxa"/>
            </w:tcMar>
          </w:tcPr>
          <w:p>
            <w:pPr>
              <w:pStyle w:val="Compact"/>
              <w:numPr>
                <w:ilvl w:val="0"/>
                <w:numId w:val="1004"/>
              </w:numPr>
            </w:pPr>
            <w:r>
              <w:t xml:space="preserve">Hvert mundstykke bruges kun af én person. Mundstykker må aldrig deles eller genbruges af andre.</w:t>
            </w:r>
          </w:p>
          <w:p>
            <w:pPr>
              <w:pStyle w:val="Compact"/>
              <w:numPr>
                <w:ilvl w:val="0"/>
                <w:numId w:val="1004"/>
              </w:numPr>
            </w:pPr>
            <w:r>
              <w:t xml:space="preserve">Tør apparatet af med sprit, inden det går videre til den næste.</w:t>
            </w:r>
          </w:p>
          <w:p>
            <w:pPr>
              <w:pStyle w:val="Compact"/>
              <w:numPr>
                <w:ilvl w:val="0"/>
                <w:numId w:val="1004"/>
              </w:numPr>
            </w:pPr>
            <w:r>
              <w:t xml:space="preserve">De dybe indåndinger kan gøre jer svimle. Mål stående tæt ved en stol, og sæt jer, hvis I bliver utilpasse.</w:t>
            </w:r>
          </w:p>
          <w:p>
            <w:pPr>
              <w:pStyle w:val="Compact"/>
              <w:numPr>
                <w:ilvl w:val="0"/>
                <w:numId w:val="1004"/>
              </w:numPr>
            </w:pPr>
            <w:r>
              <w:t xml:space="preserve">Har I astma, en luftvejsinfektion eller andet, der gør det ubehageligt at puste maksimalt ud, så sig det til læreren. I kan sagtens deltage i databehandlingen uden selv at blive målt.</w:t>
            </w:r>
          </w:p>
          <w:p/>
        </w:tc>
      </w:tr>
    </w:tbl>
    <w:bookmarkEnd w:id="33"/>
    <w:bookmarkStart w:id="36" w:name="registrering-af-målinger"/>
    <w:p>
      <w:pPr>
        <w:pStyle w:val="Heading2"/>
      </w:pPr>
      <w:r>
        <w:t xml:space="preserve">Registrering af målinger</w:t>
      </w:r>
    </w:p>
    <w:p>
      <w:pPr>
        <w:pStyle w:val="FirstParagraph"/>
      </w:pPr>
      <w:r>
        <w:rPr>
          <w:b/>
          <w:bCs/>
        </w:rPr>
        <w:t xml:space="preserve">Forsøgsperson:</w:t>
      </w:r>
      <w:r>
        <w:t xml:space="preserve"> </w:t>
      </w:r>
      <w:r>
        <w:t xml:space="preserve">____________________     </w:t>
      </w:r>
      <w:r>
        <w:t xml:space="preserve"> </w:t>
      </w:r>
      <w:r>
        <w:rPr>
          <w:b/>
          <w:bCs/>
        </w:rPr>
        <w:t xml:space="preserve">Køn (K/M):</w:t>
      </w:r>
      <w:r>
        <w:t xml:space="preserve"> </w:t>
      </w:r>
      <w:r>
        <w:t xml:space="preserve">______     </w:t>
      </w:r>
      <w:r>
        <w:t xml:space="preserve"> </w:t>
      </w:r>
      <w:r>
        <w:rPr>
          <w:b/>
          <w:bCs/>
        </w:rPr>
        <w:t xml:space="preserve">Alder:</w:t>
      </w:r>
      <w:r>
        <w:t xml:space="preserve"> </w:t>
      </w:r>
      <w:r>
        <w:t xml:space="preserve">______ år     </w:t>
      </w:r>
      <w:r>
        <w:t xml:space="preserve"> </w:t>
      </w:r>
      <w:r>
        <w:rPr>
          <w:b/>
          <w:bCs/>
        </w:rPr>
        <w:t xml:space="preserve">Højde (uden sko):</w:t>
      </w:r>
      <w:r>
        <w:t xml:space="preserve"> </w:t>
      </w:r>
      <w:r>
        <w:t xml:space="preserve">______ cm</w:t>
      </w:r>
    </w:p>
    <w:tbl>
      <w:tblPr>
        <w:tblStyle w:val="Table"/>
        <w:tblW w:type="pct" w:w="5000"/>
        <w:tblLayout w:type="fixed"/>
        <w:tblLook w:firstRow="0" w:lastRow="0" w:firstColumn="0" w:lastColumn="0" w:noHBand="0" w:noVBand="0" w:val="0000"/>
      </w:tblPr>
      <w:tblGrid>
        <w:gridCol w:w="7920"/>
      </w:tblGrid>
      <w:tr>
        <w:tc>
          <w:tcPr/>
          <w:bookmarkStart w:id="34" w:name="tbl-1"/>
          <w:p>
            <w:pPr>
              <w:jc w:val="center"/>
            </w:pPr>
            <w:pPr>
              <w:jc w:val="left"/>
              <w:spacing w:before="200"/>
              <w:pStyle w:val="ImageCaption"/>
            </w:pPr>
            <w:r>
              <w:t xml:space="preserve">Tabel 1: Dine egne tre målinger. Den højeste af dem er din vitalkapacitet.</w:t>
            </w:r>
          </w:p>
          <w:tbl>
            <w:tblPr>
              <w:tblStyle w:val="Table"/>
              <w:tblW w:type="auto" w:w="0"/>
              <w:tblLook w:firstRow="1" w:lastRow="0" w:firstColumn="0" w:lastColumn="0" w:noHBand="0" w:noVBand="0" w:val="0020"/>
            </w:tblPr>
            <w:tblGrid>
              <w:gridCol w:w="1584"/>
              <w:gridCol w:w="1584"/>
              <w:gridCol w:w="1584"/>
              <w:gridCol w:w="1584"/>
              <w:gridCol w:w="1584"/>
            </w:tblGrid>
            <w:tr>
              <w:trPr>
                <w:cantSplit/>
                <w:tblHeader w:val="on"/>
              </w:trPr>
              <w:tc>
                <w:tcPr/>
                <w:p>
                  <w:pPr>
                    <w:pStyle w:val="Compact"/>
                    <w:keepNext/>
                  </w:pPr>
                </w:p>
              </w:tc>
              <w:tc>
                <w:tcPr/>
                <w:p>
                  <w:pPr>
                    <w:pStyle w:val="Compact"/>
                    <w:keepNext/>
                    <w:jc w:val="center"/>
                    <w:jc w:val="center"/>
                  </w:pPr>
                  <w:r>
                    <w:t xml:space="preserve">Måling 1</w:t>
                  </w:r>
                </w:p>
              </w:tc>
              <w:tc>
                <w:tcPr/>
                <w:p>
                  <w:pPr>
                    <w:pStyle w:val="Compact"/>
                    <w:keepNext/>
                    <w:jc w:val="center"/>
                    <w:jc w:val="center"/>
                  </w:pPr>
                  <w:r>
                    <w:t xml:space="preserve">Måling 2</w:t>
                  </w:r>
                </w:p>
              </w:tc>
              <w:tc>
                <w:tcPr/>
                <w:p>
                  <w:pPr>
                    <w:pStyle w:val="Compact"/>
                    <w:keepNext/>
                    <w:jc w:val="center"/>
                    <w:jc w:val="center"/>
                  </w:pPr>
                  <w:r>
                    <w:t xml:space="preserve">Måling 3</w:t>
                  </w:r>
                </w:p>
              </w:tc>
              <w:tc>
                <w:tcPr/>
                <w:p>
                  <w:pPr>
                    <w:pStyle w:val="Compact"/>
                    <w:keepNext/>
                    <w:jc w:val="center"/>
                    <w:jc w:val="center"/>
                  </w:pPr>
                  <w:r>
                    <w:t xml:space="preserve">Højeste måling</w:t>
                  </w:r>
                </w:p>
              </w:tc>
            </w:tr>
            <w:tr>
              <w:trPr>
                <w:cantSplit/>
              </w:trPr>
              <w:tc>
                <w:tcPr/>
                <w:p>
                  <w:pPr>
                    <w:pStyle w:val="Compact"/>
                    <w:jc w:val="left"/>
                    <w:jc w:val="center"/>
                  </w:pPr>
                  <w:r>
                    <w:t xml:space="preserve">Vitalkapacitet (L)</w:t>
                  </w:r>
                </w:p>
              </w:tc>
              <w:tc>
                <w:tcPr/>
                <w:p>
                  <w:pPr>
                    <w:pStyle w:val="Compact"/>
                  </w:pPr>
                </w:p>
              </w:tc>
              <w:tc>
                <w:tcPr/>
                <w:p>
                  <w:pPr>
                    <w:pStyle w:val="Compact"/>
                  </w:pPr>
                </w:p>
              </w:tc>
              <w:tc>
                <w:tcPr/>
                <w:p>
                  <w:pPr>
                    <w:pStyle w:val="Compact"/>
                  </w:pPr>
                </w:p>
              </w:tc>
              <w:tc>
                <w:tcPr/>
                <w:p>
                  <w:pPr>
                    <w:pStyle w:val="Compact"/>
                  </w:pPr>
                </w:p>
              </w:tc>
            </w:tr>
          </w:tbl>
          <w:bookmarkEnd w:id="34"/>
          <w:p/>
        </w:tc>
      </w:tr>
    </w:tbl>
    <w:p>
      <w:pPr>
        <w:pStyle w:val="BodyText"/>
      </w:pPr>
      <w:r>
        <w:t xml:space="preserve">Skriv derefter dit resultat ind i klassens skema sammen med de andres.</w:t>
      </w:r>
    </w:p>
    <w:tbl>
      <w:tblPr>
        <w:tblStyle w:val="Table"/>
        <w:tblW w:type="pct" w:w="5000"/>
        <w:tblLayout w:type="fixed"/>
        <w:tblLook w:firstRow="0" w:lastRow="0" w:firstColumn="0" w:lastColumn="0" w:noHBand="0" w:noVBand="0" w:val="0000"/>
      </w:tblPr>
      <w:tblGrid>
        <w:gridCol w:w="7920"/>
      </w:tblGrid>
      <w:tr>
        <w:tc>
          <w:tcPr/>
          <w:bookmarkStart w:id="35" w:name="tbl-2"/>
          <w:p>
            <w:pPr>
              <w:jc w:val="center"/>
            </w:pPr>
            <w:pPr>
              <w:jc w:val="left"/>
              <w:spacing w:before="200"/>
              <w:pStyle w:val="ImageCaption"/>
            </w:pPr>
            <w:r>
              <w:t xml:space="preserve">Tabel 2: Klassens data. K = kvinde, M = mand. Skemaet kan overføres direkte til et regneark, hvor graferne laves.</w:t>
            </w:r>
          </w:p>
          <w:tbl>
            <w:tblPr>
              <w:tblStyle w:val="Table"/>
              <w:tblW w:type="auto" w:w="0"/>
              <w:tblLook w:firstRow="1" w:lastRow="0" w:firstColumn="0" w:lastColumn="0" w:noHBand="0" w:noVBand="0" w:val="0020"/>
            </w:tblPr>
            <w:tblGrid>
              <w:gridCol w:w="1584"/>
              <w:gridCol w:w="1584"/>
              <w:gridCol w:w="1584"/>
              <w:gridCol w:w="1584"/>
              <w:gridCol w:w="1584"/>
            </w:tblGrid>
            <w:tr>
              <w:trPr>
                <w:cantSplit/>
                <w:tblHeader w:val="on"/>
              </w:trPr>
              <w:tc>
                <w:tcPr/>
                <w:p>
                  <w:pPr>
                    <w:pStyle w:val="Compact"/>
                    <w:keepNext/>
                    <w:jc w:val="left"/>
                    <w:jc w:val="center"/>
                  </w:pPr>
                  <w:r>
                    <w:t xml:space="preserve">Navn</w:t>
                  </w:r>
                </w:p>
              </w:tc>
              <w:tc>
                <w:tcPr/>
                <w:p>
                  <w:pPr>
                    <w:pStyle w:val="Compact"/>
                    <w:keepNext/>
                    <w:jc w:val="center"/>
                    <w:jc w:val="center"/>
                  </w:pPr>
                  <w:r>
                    <w:t xml:space="preserve">Køn (K/M)</w:t>
                  </w:r>
                </w:p>
              </w:tc>
              <w:tc>
                <w:tcPr/>
                <w:p>
                  <w:pPr>
                    <w:pStyle w:val="Compact"/>
                    <w:keepNext/>
                    <w:jc w:val="center"/>
                    <w:jc w:val="center"/>
                  </w:pPr>
                  <w:r>
                    <w:t xml:space="preserve">Alder (år)</w:t>
                  </w:r>
                </w:p>
              </w:tc>
              <w:tc>
                <w:tcPr/>
                <w:p>
                  <w:pPr>
                    <w:pStyle w:val="Compact"/>
                    <w:keepNext/>
                    <w:jc w:val="center"/>
                    <w:jc w:val="center"/>
                  </w:pPr>
                  <w:r>
                    <w:t xml:space="preserve">Højde (cm)</w:t>
                  </w:r>
                </w:p>
              </w:tc>
              <w:tc>
                <w:tcPr/>
                <w:p>
                  <w:pPr>
                    <w:pStyle w:val="Compact"/>
                    <w:keepNext/>
                    <w:jc w:val="center"/>
                    <w:jc w:val="center"/>
                  </w:pPr>
                  <w:r>
                    <w:t xml:space="preserve">Vitalkapacitet (L)</w:t>
                  </w: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pPr>
                </w:p>
              </w:tc>
              <w:tc>
                <w:tcPr/>
                <w:p>
                  <w:pPr>
                    <w:pStyle w:val="Compact"/>
                  </w:pPr>
                </w:p>
              </w:tc>
              <w:tc>
                <w:tcPr/>
                <w:p>
                  <w:pPr>
                    <w:pStyle w:val="Compact"/>
                  </w:pPr>
                </w:p>
              </w:tc>
              <w:tc>
                <w:tcPr/>
                <w:p>
                  <w:pPr>
                    <w:pStyle w:val="Compact"/>
                  </w:pPr>
                </w:p>
              </w:tc>
              <w:tc>
                <w:tcPr/>
                <w:p>
                  <w:pPr>
                    <w:pStyle w:val="Compact"/>
                  </w:pPr>
                </w:p>
              </w:tc>
            </w:tr>
          </w:tbl>
          <w:bookmarkEnd w:id="35"/>
          <w:p/>
        </w:tc>
      </w:tr>
    </w:tbl>
    <w:bookmarkEnd w:id="36"/>
    <w:bookmarkStart w:id="37" w:name="databehandling"/>
    <w:p>
      <w:pPr>
        <w:pStyle w:val="Heading2"/>
      </w:pPr>
      <w:r>
        <w:t xml:space="preserve">Databehandling</w:t>
      </w:r>
    </w:p>
    <w:p>
      <w:pPr>
        <w:pStyle w:val="Compact"/>
        <w:numPr>
          <w:ilvl w:val="0"/>
          <w:numId w:val="1005"/>
        </w:numPr>
      </w:pPr>
      <w:r>
        <w:t xml:space="preserve">Beregn klassens gennemsnitlige vitalkapacitet for henholdsvis piger og drenge.</w:t>
      </w:r>
    </w:p>
    <w:p>
      <w:pPr>
        <w:pStyle w:val="Compact"/>
        <w:numPr>
          <w:ilvl w:val="0"/>
          <w:numId w:val="1005"/>
        </w:numPr>
      </w:pPr>
      <w:r>
        <w:t xml:space="preserve">Afsæt vitalkapaciteten som funktion af højden i et koordinatsystem, med piger og drenge i hver sin farve.</w:t>
      </w:r>
    </w:p>
    <w:p>
      <w:pPr>
        <w:pStyle w:val="Compact"/>
        <w:numPr>
          <w:ilvl w:val="0"/>
          <w:numId w:val="1005"/>
        </w:numPr>
      </w:pPr>
      <w:r>
        <w:t xml:space="preserve">Vurdér ud fra grafen, om der i jeres data er en tilnærmelsesvis lineær sammenhæng mellem højde og vitalkapacitet.</w:t>
      </w:r>
    </w:p>
    <w:p>
      <w:pPr>
        <w:pStyle w:val="Compact"/>
        <w:numPr>
          <w:ilvl w:val="0"/>
          <w:numId w:val="1005"/>
        </w:numPr>
      </w:pPr>
      <w:r>
        <w:t xml:space="preserve">Beregn forskellen i gennemsnitlig vitalkapacitet mellem drenge og piger i procent:</w:t>
      </w:r>
    </w:p>
    <w:p>
      <w:pPr>
        <w:pStyle w:val="FirstParagraph"/>
      </w:pPr>
      <m:oMathPara>
        <m:oMathParaPr>
          <m:jc m:val="center"/>
        </m:oMathParaPr>
        <m:oMath>
          <m:r>
            <m:rPr>
              <m:nor/>
              <m:sty m:val="p"/>
            </m:rPr>
            <m:t>Forskel (%)</m:t>
          </m:r>
          <m:r>
            <m:rPr>
              <m:sty m:val="p"/>
            </m:rPr>
            <m:t>=</m:t>
          </m:r>
          <m:f>
            <m:fPr>
              <m:type m:val="bar"/>
            </m:fPr>
            <m:num>
              <m:r>
                <m:rPr>
                  <m:nor/>
                  <m:sty m:val="p"/>
                </m:rPr>
                <m:t>vitalkapacitet for drenge</m:t>
              </m:r>
              <m:r>
                <m:rPr>
                  <m:sty m:val="p"/>
                </m:rPr>
                <m:t>−</m:t>
              </m:r>
              <m:r>
                <m:rPr>
                  <m:nor/>
                  <m:sty m:val="p"/>
                </m:rPr>
                <m:t>vitalkapacitet for piger</m:t>
              </m:r>
            </m:num>
            <m:den>
              <m:r>
                <m:rPr>
                  <m:nor/>
                  <m:sty m:val="p"/>
                </m:rPr>
                <m:t>vitalkapacitet for drenge</m:t>
              </m:r>
            </m:den>
          </m:f>
          <m:r>
            <m:rPr>
              <m:sty m:val="p"/>
            </m:rPr>
            <m:t>⋅</m:t>
          </m:r>
          <m:r>
            <m:t>100</m:t>
          </m:r>
        </m:oMath>
      </m:oMathPara>
    </w:p>
    <w:p>
      <w:pPr>
        <w:pStyle w:val="Compact"/>
        <w:numPr>
          <w:ilvl w:val="0"/>
          <w:numId w:val="1006"/>
        </w:numPr>
      </w:pPr>
      <w:r>
        <w:t xml:space="preserve">Sammenlign klassens gennemsnit med normalområderne for voksne (kvinder 3–5 L, mænd 4–6 L). Ligger klassen inden for dem?</w:t>
      </w:r>
    </w:p>
    <w:bookmarkEnd w:id="37"/>
    <w:bookmarkStart w:id="38" w:name="journalspørgsmål"/>
    <w:p>
      <w:pPr>
        <w:pStyle w:val="Heading2"/>
      </w:pPr>
      <w:r>
        <w:t xml:space="preserve">Journalspørgsmål</w:t>
      </w:r>
    </w:p>
    <w:p>
      <w:pPr>
        <w:pStyle w:val="Compact"/>
        <w:numPr>
          <w:ilvl w:val="0"/>
          <w:numId w:val="1007"/>
        </w:numPr>
      </w:pPr>
      <w:r>
        <w:t xml:space="preserve">Er påstanden om, at piger har mindre vitalkapacitet end drenge, rigtig ifølge jeres resultater? Giv en biologisk forklaring på en eventuel forskel — og overvej, om forskellen kan skyldes højden snarere end kønnet.</w:t>
      </w:r>
    </w:p>
    <w:p>
      <w:pPr>
        <w:pStyle w:val="Compact"/>
        <w:numPr>
          <w:ilvl w:val="0"/>
          <w:numId w:val="1007"/>
        </w:numPr>
      </w:pPr>
      <w:r>
        <w:t xml:space="preserve">Forklar ud fra</w:t>
      </w:r>
      <w:r>
        <w:t xml:space="preserve"> </w:t>
      </w:r>
      <w:hyperlink w:anchor="fig-lungevolumener">
        <w:r>
          <w:rPr>
            <w:rStyle w:val="Hyperlink"/>
          </w:rPr>
          <w:t xml:space="preserve">Figur 1</w:t>
        </w:r>
      </w:hyperlink>
      <w:r>
        <w:t xml:space="preserve">, hvorfor vitalkapaciteten ikke er den samme som lungernes samlede rumfang.</w:t>
      </w:r>
    </w:p>
    <w:p>
      <w:pPr>
        <w:pStyle w:val="Compact"/>
        <w:numPr>
          <w:ilvl w:val="0"/>
          <w:numId w:val="1007"/>
        </w:numPr>
      </w:pPr>
      <w:r>
        <w:t xml:space="preserve">Beskriv, hvilke muskler der arbejder ved en maksimal indånding og en forceret udånding, og forklar, hvordan trykket i brysthulen ændres undervejs.</w:t>
      </w:r>
    </w:p>
    <w:p>
      <w:pPr>
        <w:pStyle w:val="Compact"/>
        <w:numPr>
          <w:ilvl w:val="0"/>
          <w:numId w:val="1007"/>
        </w:numPr>
      </w:pPr>
      <w:r>
        <w:t xml:space="preserve">Kan man træne sin vitalkapacitet, så den bliver større? Begrund svaret.</w:t>
      </w:r>
    </w:p>
    <w:p>
      <w:pPr>
        <w:pStyle w:val="Compact"/>
        <w:numPr>
          <w:ilvl w:val="0"/>
          <w:numId w:val="1007"/>
        </w:numPr>
      </w:pPr>
      <w:r>
        <w:t xml:space="preserve">Vitalkapaciteten falder med alderen. Giv en forklaring på dette.</w:t>
      </w:r>
    </w:p>
    <w:p>
      <w:pPr>
        <w:pStyle w:val="Compact"/>
        <w:numPr>
          <w:ilvl w:val="0"/>
          <w:numId w:val="1007"/>
        </w:numPr>
      </w:pPr>
      <w:r>
        <w:t xml:space="preserve">Vitalkapaciteten siger noget om lungernes størrelse, men ikke om, hvor let luften strømmer ud. Hvorfor kan en person med astma godt have en normal vitalkapacitet, og hvilken anden måling ville afsløre astmaen?</w:t>
      </w:r>
    </w:p>
    <w:p>
      <w:pPr>
        <w:pStyle w:val="Compact"/>
        <w:numPr>
          <w:ilvl w:val="0"/>
          <w:numId w:val="1007"/>
        </w:numPr>
      </w:pPr>
      <w:r>
        <w:t xml:space="preserve">Hvilke fejlkilder kan have påvirket målingerne (fx teknik, motivation, aflæsning af skalaen), og hvorfor bruger man den højeste af tre målinger i stedet for gennemsnittet?</w:t>
      </w:r>
    </w:p>
    <w:bookmarkEnd w:id="38"/>
    <w:sectPr>
      <w:headerReference r:id="rId7" w:type="default"/>
      <w:footerReference r:id="rId8" w:type="default"/>
      <w:pgSz w:h="16838" w:orient="portrait" w:w="11906"/>
      <w:pgMar w:bottom="1224" w:footer="500" w:gutter="0" w:header="500" w:left="1152" w:right="1152" w:top="1224"/>
      <w:pgNumType/>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http://schemas.openxmlformats.org/wordprocessingml/2006/main">
  <w:p>
    <w:pPr>
      <w:pBdr>
        <w:top w:val="single" w:color="A9BBA1" w:sz="4" w:space="6"/>
      </w:pBdr>
      <w:tabs>
        <w:tab w:val="right" w:pos="9026"/>
      </w:tabs>
    </w:pPr>
    <w:r>
      <w:rPr>
        <w:rFonts w:ascii="Calibri" w:cs="Calibri" w:eastAsia="Calibri" w:hAnsi="Calibri"/>
        <w:i/>
        <w:iCs/>
        <w:color w:val="6B7A66"/>
        <w:sz w:val="16"/>
        <w:szCs w:val="16"/>
      </w:rPr>
      <w:t xml:space="preserve">Øvelsesvejledning</w:t>
    </w:r>
    <w:r>
      <w:rPr>
        <w:rFonts w:ascii="Calibri" w:cs="Calibri" w:eastAsia="Calibri" w:hAnsi="Calibri"/>
      </w:rPr>
      <w:t xml:space="preserve">	</w:t>
    </w:r>
    <w:r>
      <w:rPr>
        <w:rFonts w:ascii="Calibri" w:cs="Calibri" w:eastAsia="Calibri" w:hAnsi="Calibri"/>
        <w:color w:val="6B7A66"/>
        <w:sz w:val="16"/>
        <w:szCs w:val="16"/>
      </w:rPr>
      <w:t xml:space="preserve">Side </w:t>
    </w:r>
    <w:r>
      <w:rPr>
        <w:rFonts w:ascii="Calibri" w:cs="Calibri" w:eastAsia="Calibri" w:hAnsi="Calibri"/>
        <w:color w:val="6B7A66"/>
        <w:sz w:val="16"/>
        <w:szCs w:val="16"/>
      </w:rPr>
      <w:fldChar w:fldCharType="begin"/>
      <w:instrText xml:space="preserve">PAGE</w:instrText>
      <w:fldChar w:fldCharType="separate"/>
      <w:fldChar w:fldCharType="end"/>
    </w:r>
    <w:r>
      <w:rPr>
        <w:rFonts w:ascii="Calibri" w:cs="Calibri" w:eastAsia="Calibri" w:hAnsi="Calibri"/>
        <w:color w:val="6B7A66"/>
        <w:sz w:val="16"/>
        <w:szCs w:val="16"/>
      </w:rPr>
      <w:t xml:space="preserve"> af </w:t>
    </w:r>
    <w:r>
      <w:rPr>
        <w:rFonts w:ascii="Calibri" w:cs="Calibri" w:eastAsia="Calibri" w:hAnsi="Calibri"/>
        <w:color w:val="6B7A66"/>
        <w:sz w:val="16"/>
        <w:szCs w:val="16"/>
      </w:rPr>
      <w:fldChar w:fldCharType="begin"/>
      <w:instrText xml:space="preserve">NUMPAGES</w:instrText>
      <w:fldChar w:fldCharType="separate"/>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w:p>
    <w:pPr>
      <w:pBdr>
        <w:bottom w:val="single" w:color="A9BBA1" w:sz="4" w:space="6"/>
      </w:pBdr>
      <w:tabs>
        <w:tab w:val="right" w:pos="9026"/>
      </w:tabs>
      <w:spacing w:after="0"/>
    </w:pPr>
    <w:r>
      <w:rPr>
        <w:rFonts w:ascii="Calibri" w:cs="Calibri" w:eastAsia="Calibri" w:hAnsi="Calibri"/>
        <w:b/>
        <w:bCs/>
        <w:color w:val="6B7A66"/>
        <w:spacing w:val="18"/>
        <w:sz w:val="16"/>
        <w:szCs w:val="16"/>
      </w:rPr>
      <w:t xml:space="preserve">BIOLOGI</w:t>
    </w:r>
    <w:r>
      <w:rPr>
        <w:rFonts w:ascii="Calibri" w:cs="Calibri" w:eastAsia="Calibri" w:hAnsi="Calibri"/>
      </w:rPr>
      <w:t xml:space="preserve">	</w:t>
    </w:r>
    <w:r>
      <w:rPr>
        <w:rFonts w:ascii="Calibri" w:cs="Calibri" w:eastAsia="Calibri" w:hAnsi="Calibri"/>
        <w:color w:val="6B7A66"/>
        <w:spacing w:val="10"/>
        <w:sz w:val="16"/>
        <w:szCs w:val="16"/>
      </w:rPr>
      <w:t xml:space="preserve"/>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15:restartNumberingAfterBreak="0" w:abstractNumId="1">
    <w:multiLevelType w:val="hybridMultilevel"/>
    <w:lvl w15:tentative="1" w:ilvl="0">
      <w:start w:val="1"/>
      <w:numFmt w:val="bullet"/>
      <w:lvlText w:val="●"/>
      <w:lvlJc w:val="left"/>
      <w:pPr>
        <w:ind w:hanging="360" w:left="720"/>
      </w:pPr>
    </w:lvl>
    <w:lvl w15:tentative="1" w:ilvl="1">
      <w:start w:val="1"/>
      <w:numFmt w:val="bullet"/>
      <w:lvlText w:val="○"/>
      <w:lvlJc w:val="left"/>
      <w:pPr>
        <w:ind w:hanging="360" w:left="1440"/>
      </w:pPr>
    </w:lvl>
    <w:lvl w15:tentative="1" w:ilvl="2">
      <w:start w:val="1"/>
      <w:numFmt w:val="bullet"/>
      <w:lvlText w:val="■"/>
      <w:lvlJc w:val="left"/>
      <w:pPr>
        <w:ind w:hanging="360" w:left="2160"/>
      </w:pPr>
    </w:lvl>
    <w:lvl w15:tentative="1" w:ilvl="3">
      <w:start w:val="1"/>
      <w:numFmt w:val="bullet"/>
      <w:lvlText w:val="●"/>
      <w:lvlJc w:val="left"/>
      <w:pPr>
        <w:ind w:hanging="360" w:left="2880"/>
      </w:pPr>
    </w:lvl>
    <w:lvl w15:tentative="1" w:ilvl="4">
      <w:start w:val="1"/>
      <w:numFmt w:val="bullet"/>
      <w:lvlText w:val="○"/>
      <w:lvlJc w:val="left"/>
      <w:pPr>
        <w:ind w:hanging="360" w:left="3600"/>
      </w:pPr>
    </w:lvl>
    <w:lvl w15:tentative="1" w:ilvl="5">
      <w:start w:val="1"/>
      <w:numFmt w:val="bullet"/>
      <w:lvlText w:val="■"/>
      <w:lvlJc w:val="left"/>
      <w:pPr>
        <w:ind w:hanging="360" w:left="4320"/>
      </w:pPr>
    </w:lvl>
    <w:lvl w15:tentative="1" w:ilvl="6">
      <w:start w:val="1"/>
      <w:numFmt w:val="bullet"/>
      <w:lvlText w:val="●"/>
      <w:lvlJc w:val="left"/>
      <w:pPr>
        <w:ind w:hanging="360" w:left="5040"/>
      </w:pPr>
    </w:lvl>
    <w:lvl w15:tentative="1" w:ilvl="7">
      <w:start w:val="1"/>
      <w:numFmt w:val="bullet"/>
      <w:lvlText w:val="●"/>
      <w:lvlJc w:val="left"/>
      <w:pPr>
        <w:ind w:hanging="360" w:left="5760"/>
      </w:pPr>
    </w:lvl>
    <w:lvl w15:tentative="1" w:ilvl="8">
      <w:start w:val="1"/>
      <w:numFmt w:val="bullet"/>
      <w:lvlText w:val="●"/>
      <w:lvlJc w:val="left"/>
      <w:pPr>
        <w:ind w:hanging="360" w:left="6480"/>
      </w:pPr>
    </w:lvl>
  </w:abstractNum>
  <w:abstractNum w15:restartNumberingAfterBreak="0" w:abstractNumId="2">
    <w:multiLevelType w:val="hybridMultilevel"/>
    <w:lvl w15:tentative="1" w:ilvl="0">
      <w:start w:val="1"/>
      <w:numFmt w:val="decimal"/>
      <w:lvlText w:val="%1."/>
      <w:lvlJc w:val="start"/>
      <w:pPr>
        <w:ind w:hanging="300" w:left="420"/>
      </w:pPr>
    </w:lvl>
  </w:abstractNum>
  <w:abstractNum w15:restartNumberingAfterBreak="0" w:abstractNumId="3">
    <w:multiLevelType w:val="hybridMultilevel"/>
    <w:lvl w15:tentative="1" w:ilvl="0">
      <w:start w:val="1"/>
      <w:numFmt w:val="bullet"/>
      <w:lvlText w:val="–"/>
      <w:lvlJc w:val="start"/>
      <w:pPr>
        <w:ind w:hanging="200" w:left="3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displayBackgroundShape/>
  <w:embedSystemFonts/>
  <w:proofState w:grammar="clean" w:spelling="clean"/>
  <w:stylePaneFormatFilter w:val="0004"/>
  <w:doNotTrackMoves/>
  <w:defaultTabStop w:val="720"/>
  <w:evenAndOddHeaders w:val="false"/>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6332B"/>
        <w:sz w:val="22"/>
        <w:szCs w:val="22"/>
        <w:lang w:val="da"/>
      </w:rPr>
    </w:rPrDefault>
    <w:pPrDefault>
      <w:pPr>
        <w:spacing w:after="140" w:line="276" w:lineRule="auto"/>
      </w:pPr>
    </w:pPrDefault>
  </w:docDefaults>
  <w:style w:default="1" w:styleId="Normal" w:type="paragraph">
    <w:name w:val="Normal"/>
    <w:qFormat/>
  </w:style>
  <w:style w:styleId="Title" w:type="paragraph">
    <w:name w:val="Title"/>
    <w:basedOn w:val="Normal"/>
    <w:next w:val="Normal"/>
    <w:qFormat/>
    <w:pPr>
      <w:spacing w:after="80" w:before="40"/>
    </w:pPr>
    <w:rPr>
      <w:b/>
      <w:bCs/>
      <w:color w:val="2C4527"/>
      <w:sz w:val="52"/>
      <w:szCs w:val="52"/>
    </w:rPr>
  </w:style>
  <w:style w:styleId="Subtitle" w:type="paragraph">
    <w:name w:val="Subtitle"/>
    <w:basedOn w:val="Normal"/>
    <w:next w:val="Normal"/>
    <w:qFormat/>
    <w:pPr>
      <w:spacing w:after="220" w:before="0"/>
    </w:pPr>
    <w:rPr>
      <w:color w:val="6B7A66"/>
      <w:sz w:val="20"/>
    </w:rPr>
  </w:style>
  <w:style w:styleId="Heading1" w:type="paragraph">
    <w:name w:val="Heading 1"/>
    <w:basedOn w:val="Normal"/>
    <w:next w:val="Normal"/>
    <w:qFormat/>
    <w:pPr>
      <w:pBdr>
        <w:left w:color="3F5F3A" w:space="8" w:sz="18" w:val="single"/>
      </w:pBdr>
      <w:spacing w:after="140" w:before="320"/>
      <w:ind w:left="140"/>
    </w:pPr>
    <w:rPr>
      <w:b/>
      <w:bCs/>
      <w:color w:val="2C4527"/>
      <w:sz w:val="32"/>
      <w:szCs w:val="32"/>
    </w:rPr>
  </w:style>
  <w:style w:styleId="Heading2" w:type="paragraph">
    <w:name w:val="Heading 2"/>
    <w:basedOn w:val="Normal"/>
    <w:next w:val="Normal"/>
    <w:qFormat/>
    <w:pPr>
      <w:pBdr>
        <w:left w:color="3F5F3A" w:space="8" w:sz="18" w:val="single"/>
      </w:pBdr>
      <w:spacing w:after="120" w:before="300"/>
      <w:ind w:left="140"/>
    </w:pPr>
    <w:rPr>
      <w:b/>
      <w:bCs/>
      <w:color w:val="2C4527"/>
      <w:sz w:val="27"/>
      <w:szCs w:val="27"/>
    </w:rPr>
  </w:style>
  <w:style w:styleId="Heading3" w:type="paragraph">
    <w:name w:val="Heading 3"/>
    <w:basedOn w:val="Normal"/>
    <w:next w:val="Normal"/>
    <w:qFormat/>
    <w:pPr>
      <w:spacing w:after="100" w:before="200"/>
    </w:pPr>
    <w:rPr>
      <w:b/>
      <w:bCs/>
      <w:color w:val="3F5F3A"/>
      <w:sz w:val="24"/>
      <w:szCs w:val="24"/>
    </w:rPr>
  </w:style>
  <w:style w:styleId="Heading4" w:type="paragraph">
    <w:name w:val="Heading 4"/>
    <w:basedOn w:val="Normal"/>
    <w:next w:val="Normal"/>
    <w:qFormat/>
    <w:rPr>
      <w:i/>
      <w:iCs/>
      <w:color w:val="3F5F3A"/>
    </w:rPr>
  </w:style>
  <w:style w:styleId="Heading5" w:type="paragraph">
    <w:name w:val="Heading 5"/>
    <w:basedOn w:val="Normal"/>
    <w:next w:val="Normal"/>
    <w:qFormat/>
    <w:rPr>
      <w:color w:val="3F5F3A"/>
    </w:rPr>
  </w:style>
  <w:style w:styleId="Heading6" w:type="paragraph">
    <w:name w:val="Heading 6"/>
    <w:basedOn w:val="Normal"/>
    <w:next w:val="Normal"/>
    <w:qFormat/>
    <w:rPr>
      <w:color w:val="6B7A66"/>
    </w:rPr>
  </w:style>
  <w:style w:styleId="Strong" w:type="paragraph">
    <w:name w:val="Strong"/>
    <w:basedOn w:val="Normal"/>
    <w:next w:val="Normal"/>
    <w:qFormat/>
    <w:rPr>
      <w:b/>
      <w:bCs/>
    </w:rPr>
  </w:style>
  <w:style w:styleId="ListParagraph" w:type="paragraph">
    <w:name w:val="List Paragraph"/>
    <w:basedOn w:val="Normal"/>
    <w:qFormat/>
  </w:style>
  <w:style w:styleId="BodyText" w:type="paragraph">
    <w:name w:val="Body Text"/>
    <w:basedOn w:val="Normal"/>
    <w:next w:val="Normal"/>
    <w:qFormat/>
  </w:style>
  <w:style w:styleId="FirstParagraph" w:type="paragraph">
    <w:name w:val="First Paragraph"/>
    <w:basedOn w:val="Normal"/>
    <w:next w:val="Normal"/>
    <w:qFormat/>
    <w:pPr>
      <w:spacing w:before="0"/>
    </w:pPr>
  </w:style>
  <w:style w:styleId="Compact" w:type="paragraph">
    <w:name w:val="Compact"/>
    <w:basedOn w:val="ListParagraph"/>
    <w:next w:val="Compact"/>
    <w:qFormat/>
    <w:pPr>
      <w:spacing w:after="90" w:line="276" w:lineRule="auto"/>
    </w:pPr>
  </w:style>
  <w:style w:styleId="CaptionedFigure" w:type="paragraph">
    <w:name w:val="Captioned Figure"/>
    <w:basedOn w:val="Normal"/>
    <w:next w:val="Normal"/>
    <w:qFormat/>
    <w:pPr>
      <w:spacing w:after="0" w:before="120"/>
      <w:jc w:val="center"/>
    </w:pPr>
  </w:style>
  <w:style w:styleId="Caption" w:type="paragraph">
    <w:name w:val="Caption"/>
    <w:basedOn w:val="Normal"/>
    <w:next w:val="Normal"/>
    <w:qFormat/>
    <w:pPr>
      <w:spacing w:after="220" w:before="100"/>
      <w:jc w:val="center"/>
    </w:pPr>
    <w:rPr>
      <w:i/>
      <w:iCs/>
      <w:color w:val="6B7A66"/>
      <w:sz w:val="19"/>
      <w:szCs w:val="19"/>
    </w:rPr>
  </w:style>
  <w:style w:styleId="ImageCaption" w:type="paragraph">
    <w:name w:val="Image Caption"/>
    <w:basedOn w:val="Caption"/>
    <w:next w:val="Normal"/>
    <w:qFormat/>
  </w:style>
  <w:style w:styleId="Table" w:type="table">
    <w:name w:val="Table"/>
    <w:basedOn w:val="TableNormal"/>
    <w:uiPriority w:val="99"/>
    <w:pPr>
      <w:spacing w:after="0" w:line="256" w:lineRule="auto"/>
    </w:pPr>
    <w:tblPr>
      <w:tblBorders>
        <w:top w:color="8FA085" w:space="0" w:sz="4" w:val="single"/>
        <w:left w:color="8FA085" w:space="0" w:sz="4" w:val="single"/>
        <w:bottom w:color="8FA085" w:space="0" w:sz="4" w:val="single"/>
        <w:right w:color="8FA085" w:space="0" w:sz="4" w:val="single"/>
        <w:insideH w:color="C7D0C0" w:space="0" w:sz="4" w:val="single"/>
        <w:insideV w:color="C7D0C0" w:space="0" w:sz="4" w:val="single"/>
      </w:tblBorders>
    </w:tblPr>
    <w:tcPr>
      <w:tcMar>
        <w:top w:type="dxa" w:w="90"/>
        <w:left w:type="dxa" w:w="120"/>
        <w:bottom w:type="dxa" w:w="90"/>
        <w:right w:type="dxa" w:w="120"/>
      </w:tcMar>
    </w:tcPr>
  </w:style>
  <w:style w:default="1" w:styleId="TableNormal" w:type="table">
    <w:name w:val="Normal Table"/>
    <w:uiPriority w:val="99"/>
    <w:semiHidden/>
    <w:unhideWhenUsed/>
    <w:tblPr>
      <w:tblCellMar>
        <w:top w:type="dxa" w:w="0"/>
        <w:left w:type="dxa" w:w="108"/>
        <w:bottom w:type="dxa" w:w="0"/>
        <w:right w:type="dxa" w:w="108"/>
      </w:tblCellMar>
    </w:tblPr>
  </w:style>
  <w:style w:styleId="FirstRow" w:type="table">
    <w:name w:val="First Row"/>
    <w:basedOn w:val="Table"/>
    <w:uiPriority w:val="99"/>
  </w:style>
  <w:style w:styleId="Hyperlink" w:type="character">
    <w:name w:val="Hyperlink"/>
    <w:basedOn w:val="DefaultParagraphFont"/>
    <w:uiPriority w:val="99"/>
    <w:unhideWhenUsed/>
    <w:rPr>
      <w:color w:val="1F5F8B"/>
      <w:u w:val="single"/>
    </w:rPr>
  </w:style>
  <w:style w:styleId="FootnoteReference" w:type="character">
    <w:name w:val="footnote reference"/>
    <w:basedOn w:val="DefaultParagraphFont"/>
    <w:uiPriority w:val="99"/>
    <w:semiHidden/>
    <w:unhideWhenUsed/>
    <w:rPr>
      <w:vertAlign w:val="superscript"/>
    </w:rPr>
  </w:style>
  <w:style w:styleId="FootnoteText" w:type="paragraph">
    <w:name w:val="footnote text"/>
    <w:basedOn w:val="Normal"/>
    <w:link w:val="FootnoteTextChar"/>
    <w:uiPriority w:val="99"/>
    <w:semiHidden/>
    <w:unhideWhenUsed/>
    <w:pPr>
      <w:spacing w:after="0" w:line="240" w:lineRule="auto"/>
    </w:pPr>
    <w:rPr>
      <w:sz w:val="20"/>
      <w:szCs w:val="20"/>
    </w:rPr>
  </w:style>
  <w:style w:styleId="FootnoteTextChar" w:type="character">
    <w:name w:val="Footnote Text Char"/>
    <w:basedOn w:val="DefaultParagraphFont"/>
    <w:link w:val="FootnoteText"/>
    <w:uiPriority w:val="99"/>
    <w:semiHidden/>
    <w:unhideWhenUsed/>
    <w:rPr>
      <w:sz w:val="20"/>
      <w:szCs w:val="20"/>
    </w:rPr>
  </w:style>
  <w:style w:styleId="EndnoteReference" w:type="character">
    <w:name w:val="endnote reference"/>
    <w:basedOn w:val="DefaultParagraphFont"/>
    <w:uiPriority w:val="99"/>
    <w:semiHidden/>
    <w:unhideWhenUsed/>
    <w:rPr>
      <w:vertAlign w:val="superscript"/>
    </w:rPr>
  </w:style>
  <w:style w:styleId="EndnoteText" w:type="paragraph">
    <w:name w:val="endnote text"/>
    <w:basedOn w:val="Normal"/>
    <w:link w:val="EndnoteTextChar"/>
    <w:uiPriority w:val="99"/>
    <w:semiHidden/>
    <w:unhideWhenUsed/>
    <w:pPr>
      <w:spacing w:after="0" w:line="240" w:lineRule="auto"/>
    </w:pPr>
    <w:rPr>
      <w:sz w:val="20"/>
      <w:szCs w:val="20"/>
    </w:rPr>
  </w:style>
  <w:style w:styleId="EndnoteTextChar" w:type="character">
    <w:name w:val="Endnote Text Char"/>
    <w:basedOn w:val="DefaultParagraphFont"/>
    <w:link w:val="EndnoteText"/>
    <w:uiPriority w:val="99"/>
    <w:semiHidden/>
    <w:unhideWhenUsed/>
    <w:rPr>
      <w:sz w:val="20"/>
      <w:szCs w:val="20"/>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Type="http://schemas.openxmlformats.org/officeDocument/2006/relationships/numbering" Id="rId18" Target="numbering.xml" /><Relationship Type="http://schemas.openxmlformats.org/officeDocument/2006/relationships/styles" Id="rId17" Target="styles.xml" /><Relationship Type="http://schemas.openxmlformats.org/officeDocument/2006/relationships/settings" Id="rId16" Target="settings.xml" /><Relationship Type="http://schemas.openxmlformats.org/officeDocument/2006/relationships/webSettings" Id="rId15" Target="webSettings.xml" /><Relationship Type="http://schemas.openxmlformats.org/officeDocument/2006/relationships/fontTable" Id="rId14" Target="fontTable.xml" /><Relationship Type="http://schemas.openxmlformats.org/officeDocument/2006/relationships/theme" Id="rId13" Target="theme/theme1.xml" /><Relationship Type="http://schemas.openxmlformats.org/officeDocument/2006/relationships/footnotes" Id="rId12" Target="footnotes.xml" /><Relationship Type="http://schemas.openxmlformats.org/officeDocument/2006/relationships/comments" Id="rId11" Target="comments.xml" /><Relationship Id="rId7" Target="header1.xml" Type="http://schemas.openxmlformats.org/officeDocument/2006/relationships/header" /><Relationship Id="rId8" Target="footer1.xml" Type="http://schemas.openxmlformats.org/officeDocument/2006/relationships/footer" /><Relationship Id="rId9" Target="media/ff4355ab3d7b3fb047ac1bb9b81f09919282c810.png" Type="http://schemas.openxmlformats.org/officeDocument/2006/relationships/image" /><Relationship Id="rId10" Target="media/22118e1eede36edf4136c10d3e20d9ff95fafa9e.png" Type="http://schemas.openxmlformats.org/officeDocument/2006/relationships/image" /><Relationship Type="http://schemas.openxmlformats.org/officeDocument/2006/relationships/image" Id="rId30" Target="media/rId30.png" /><Relationship Type="http://schemas.openxmlformats.org/officeDocument/2006/relationships/image" Id="rId27" Target="media/rId27.png" /><Relationship Type="http://schemas.openxmlformats.org/officeDocument/2006/relationships/image" Id="rId24" Target="media/rId24.png" /><Relationship Type="http://schemas.openxmlformats.org/officeDocument/2006/relationships/image" Id="rId19" Target="media/rId19.png" /></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Vitalkapacitet</dc:title>
  <dc:creator/>
  <dc:language>da</dc:language>
  <cp:keywords/>
  <dcterms:created xsi:type="dcterms:W3CDTF">2026-10-14T09:09:33Z</dcterms:created>
  <dcterms:modified xsi:type="dcterms:W3CDTF">2026-10-14T09:09:33Z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doc-type">
    <vt:lpwstr>Øvelsesvejledning</vt:lpwstr>
  </property>
  <property fmtid="{D5CDD505-2E9C-101B-9397-08002B2CF9AE}" pid="4" name="fag">
    <vt:lpwstr>Biologi</vt:lpwstr>
  </property>
  <property fmtid="{D5CDD505-2E9C-101B-9397-08002B2CF9AE}" pid="5" name="header-includes">
    <vt:lpwstr/>
  </property>
  <property fmtid="{D5CDD505-2E9C-101B-9397-08002B2CF9AE}" pid="6" name="hold">
    <vt:lpwstr/>
  </property>
  <property fmtid="{D5CDD505-2E9C-101B-9397-08002B2CF9AE}" pid="7" name="include-after">
    <vt:lpwstr/>
  </property>
  <property fmtid="{D5CDD505-2E9C-101B-9397-08002B2CF9AE}" pid="8" name="include-before">
    <vt:lpwstr/>
  </property>
  <property fmtid="{D5CDD505-2E9C-101B-9397-08002B2CF9AE}" pid="9" name="labels">
    <vt:lpwstr/>
  </property>
  <property fmtid="{D5CDD505-2E9C-101B-9397-08002B2CF9AE}" pid="10" name="subtitle">
    <vt:lpwstr>Måling med lommespirometer</vt:lpwstr>
  </property>
  <property fmtid="{D5CDD505-2E9C-101B-9397-08002B2CF9AE}" pid="11" name="toc-title">
    <vt:lpwstr>Indholdsfortegnelse</vt:lpwstr>
  </property>
</Properties>
</file>