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29.png" ContentType="image/png"/>
  <Override PartName="/word/media/rId26.png" ContentType="image/png"/>
  <Override PartName="/word/media/rId23.png" ContentType="image/png"/>
  <Override PartName="/word/media/ff4355ab3d7b3fb047ac1bb9b81f09919282c810.png" ContentType="image/png"/>
  <Override PartName="/word/media/22118e1eede36edf4136c10d3e20d9ff95fafa9e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a="http://schemas.openxmlformats.org/drawingml/2006/main" xmlns:m="http://schemas.openxmlformats.org/officeDocument/2006/math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>
  <w:body>
    <w:p>
      <w:pPr>
        <w:pStyle w:val="Title"/>
      </w:pPr>
      <w:r>
        <w:t xml:space="preserve">Gærforsøg — bobleforsøg</w:t>
      </w:r>
    </w:p>
    <w:p>
      <w:pPr>
        <w:pStyle w:val="Subtitle"/>
      </w:pPr>
      <w:r>
        <w:t xml:space="preserve">Laboratorieøvelse</w:t>
      </w:r>
    </w:p>
    <w:p>
      <w:pPr>
        <w:pStyle w:val="FirstParagraph"/>
      </w:pPr>
      <w:r>
        <w:rPr>
          <w:b/>
          <w:bCs/>
        </w:rPr>
        <w:t xml:space="preserve">Dato:</w:t>
      </w:r>
      <w:r>
        <w:t xml:space="preserve"> </w:t>
      </w:r>
      <w:r>
        <w:t xml:space="preserve">____________________     </w:t>
      </w:r>
      <w:r>
        <w:t xml:space="preserve"> </w:t>
      </w:r>
      <w:r>
        <w:rPr>
          <w:b/>
          <w:bCs/>
        </w:rPr>
        <w:t xml:space="preserve">Gruppe / navne:</w:t>
      </w:r>
      <w:r>
        <w:t xml:space="preserve"> </w:t>
      </w:r>
      <w:r>
        <w:t xml:space="preserve">____________________________________________</w:t>
      </w:r>
    </w:p>
    <w:bookmarkStart w:id="19" w:name="om-øvelsen"/>
    <w:p>
      <w:pPr>
        <w:pStyle w:val="Heading2"/>
      </w:pPr>
      <w:r>
        <w:t xml:space="preserve">Om øvelsen</w:t>
      </w:r>
    </w:p>
    <w:p>
      <w:pPr>
        <w:pStyle w:val="FirstParagraph"/>
      </w:pPr>
      <w:r>
        <w:t xml:space="preserve">I dag skal I undersøge, hvordan temperatur påvirker gærens gæring. Gærceller omsætter sukker til alkohol og kuldioxid (CO₂), når der ikke er ilt til stede — det er denne gæring, der får brøddej til at hæve. I skal tælle, hvor mange CO₂-bobler der siver ud af gærrørene pr. minut ved forskellige betingelser, og bruge indikatoren bromthymolblåt (BTB) til at følge, hvordan CO₂ gør vandet i gærrøret surt.</w:t>
      </w:r>
    </w:p>
    <w:bookmarkEnd w:id="19"/>
    <w:bookmarkStart w:id="33" w:name="fremgangsmåde"/>
    <w:p>
      <w:pPr>
        <w:pStyle w:val="Heading2"/>
      </w:pPr>
      <w:r>
        <w:t xml:space="preserve">Fremgangsmåde</w:t>
      </w:r>
    </w:p>
    <w:bookmarkStart w:id="20" w:name="a.-klargøring-af-gærrør"/>
    <w:p>
      <w:pPr>
        <w:pStyle w:val="Heading3"/>
      </w:pPr>
      <w:r>
        <w:t xml:space="preserve">A. Klargøring af gærrør</w:t>
      </w:r>
    </w:p>
    <w:p>
      <w:pPr>
        <w:pStyle w:val="Compact"/>
        <w:numPr>
          <w:ilvl w:val="0"/>
          <w:numId w:val="1001"/>
        </w:numPr>
      </w:pPr>
      <w:r>
        <w:t xml:space="preserve">Fyld de fire gærrør med vand tilsat et par dråber bromthymolblåt (BTB). Notér farven i skemaet.</w:t>
      </w:r>
    </w:p>
    <w:bookmarkEnd w:id="20"/>
    <w:bookmarkStart w:id="21" w:name="b.-fire-kolber-med-gær-og-sukker"/>
    <w:p>
      <w:pPr>
        <w:pStyle w:val="Heading3"/>
      </w:pPr>
      <w:r>
        <w:t xml:space="preserve">B. Fire kolber med gær og sukker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Kolbe 1:</w:t>
      </w:r>
      <w:r>
        <w:t xml:space="preserve"> </w:t>
      </w:r>
      <w:r>
        <w:t xml:space="preserve">Kom 20 g gær og 25 g sukker i en konisk kolbe, og rør rundt med en spatel — uden at tilsætte vand endnu. Notér jeres iagttagelser.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Kolbe 2-4:</w:t>
      </w:r>
      <w:r>
        <w:t xml:space="preserve"> </w:t>
      </w:r>
      <w:r>
        <w:t xml:space="preserve">Opløs 25 g sukker i 100 mL vand i hver af de tre andre koniske kolber. Brug varmepladerne til at give vandet tre forskellige temperaturer, fx stuetemperatur (ca. 20 °C), håndvarmt (ca. 37 °C) og varmt (ca. 60 °C). Mål og notér temperaturerne.</w:t>
      </w:r>
    </w:p>
    <w:p>
      <w:pPr>
        <w:pStyle w:val="Compact"/>
        <w:numPr>
          <w:ilvl w:val="0"/>
          <w:numId w:val="1002"/>
        </w:numPr>
      </w:pPr>
      <w:r>
        <w:t xml:space="preserve">Tilsæt 20 g gær til hver af de tre sukkeropløsninger, og rør rundt.</w:t>
      </w:r>
    </w:p>
    <w:p>
      <w:pPr>
        <w:pStyle w:val="Compact"/>
        <w:numPr>
          <w:ilvl w:val="0"/>
          <w:numId w:val="1002"/>
        </w:numPr>
      </w:pPr>
      <w:r>
        <w:t xml:space="preserve">Tilsæt nu 100 mL vand ved stuetemperatur til kolbe 1.</w:t>
      </w:r>
    </w:p>
    <w:p>
      <w:pPr>
        <w:pStyle w:val="Compact"/>
        <w:numPr>
          <w:ilvl w:val="0"/>
          <w:numId w:val="1002"/>
        </w:numPr>
      </w:pPr>
      <w:r>
        <w:t xml:space="preserve">Sæt en prop med et klargjort gærrør på alle fire kolber, og start stopuret samtidig for alle fire.</w:t>
      </w:r>
    </w:p>
    <w:bookmarkEnd w:id="21"/>
    <w:bookmarkStart w:id="22" w:name="c.-observation-af-gæringen"/>
    <w:p>
      <w:pPr>
        <w:pStyle w:val="Heading3"/>
      </w:pPr>
      <w:r>
        <w:t xml:space="preserve">C. Observation af gæringen</w:t>
      </w:r>
    </w:p>
    <w:p>
      <w:pPr>
        <w:pStyle w:val="Compact"/>
        <w:numPr>
          <w:ilvl w:val="0"/>
          <w:numId w:val="1003"/>
        </w:numPr>
      </w:pPr>
      <w:r>
        <w:t xml:space="preserve">Notér, hvornår den første boble forlader hvert gærrør.</w:t>
      </w:r>
    </w:p>
    <w:p>
      <w:pPr>
        <w:pStyle w:val="Compact"/>
        <w:numPr>
          <w:ilvl w:val="0"/>
          <w:numId w:val="1003"/>
        </w:numPr>
      </w:pPr>
      <w:r>
        <w:t xml:space="preserve">Tæl antallet af bobler, der forlader hvert gærrør i løbet af ét minut. Gør det 3-4 gange i løbet af forsøget, fx efter 5, 15 og 30 minutter, og notér det præcise tidspunkt hver gang.</w:t>
      </w:r>
    </w:p>
    <w:p>
      <w:pPr>
        <w:pStyle w:val="Compact"/>
        <w:numPr>
          <w:ilvl w:val="0"/>
          <w:numId w:val="1003"/>
        </w:numPr>
      </w:pPr>
      <w:r>
        <w:t xml:space="preserve">Hold øje med farven af BTB i gærrørene undervejs, og notér hvornår og hvordan den ændrer sig.</w:t>
      </w:r>
    </w:p>
    <w:bookmarkEnd w:id="22"/>
    <w:bookmarkStart w:id="32" w:name="d.-oprydning"/>
    <w:p>
      <w:pPr>
        <w:pStyle w:val="Heading3"/>
      </w:pPr>
      <w:r>
        <w:t xml:space="preserve">D. Oprydning</w:t>
      </w:r>
    </w:p>
    <w:p>
      <w:pPr>
        <w:pStyle w:val="Compact"/>
        <w:numPr>
          <w:ilvl w:val="0"/>
          <w:numId w:val="1004"/>
        </w:numPr>
      </w:pPr>
      <w:r>
        <w:t xml:space="preserve">Kolberne tømmes, og udstyret skylles og rengøres.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tip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Bromthymolblåt skifter farve med pH: blåt ved pH over 7,6, grønt ved pH 6,0-7,6, og gult under pH 6,0. Jo mere CO₂, der opløses i vandet, jo surere bliver det.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note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Materialer (pr. gruppe)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Tørgær (i alt ca. 80 g)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Sukker (i alt ca. 100 g)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Vand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Bromthymolblåt (BTB)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4 × 250 mL konisk kolbe med prop og gærrør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Spatel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Termometer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Vægt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2 varmeplader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Stopur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important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Sikkerhed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Varmepladerne og det opvarmede vand kan give forbrændinger — pas på ved håndtering, og lad varmepladerne køle af efter brug.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Bromthymolblåt (BTB) kan irritere hud og øjne. Undgå kontakt, og skyl straks med vand ved spild.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Vask hænder efter øvelsen. Spis og drik ikke i laboratoriet.</w:t>
            </w:r>
          </w:p>
          <w:p/>
        </w:tc>
      </w:tr>
    </w:tbl>
    <w:bookmarkEnd w:id="32"/>
    <w:bookmarkEnd w:id="33"/>
    <w:bookmarkStart w:id="35" w:name="registrering-af-resultater"/>
    <w:p>
      <w:pPr>
        <w:pStyle w:val="Heading2"/>
      </w:pPr>
      <w:r>
        <w:t xml:space="preserve">Registrering af resultater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4" w:name="tbl-1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1: Iagttagelser fra de fire gærrør.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320"/>
              <w:gridCol w:w="1650"/>
              <w:gridCol w:w="1650"/>
              <w:gridCol w:w="1650"/>
              <w:gridCol w:w="1650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Kolbe 1 (gær + sukker tørt)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Kolbe 2 (stuetemp.)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Kolbe 3 (håndvarmt)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Kolbe 4 (varmt)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Vandets temperatur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BTB-farve ved start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Tid for første boble (min)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Antal bobler/min efter 5 min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Antal bobler/min efter 15 min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Antal bobler/min efter 30 min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BTB-farve og tidspunkt for ændring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34"/>
          <w:p/>
        </w:tc>
      </w:tr>
    </w:tbl>
    <w:bookmarkEnd w:id="35"/>
    <w:bookmarkStart w:id="37" w:name="databehandling"/>
    <w:p>
      <w:pPr>
        <w:pStyle w:val="Heading2"/>
      </w:pPr>
      <w:r>
        <w:t xml:space="preserve">Databehandling</w:t>
      </w:r>
    </w:p>
    <w:p>
      <w:pPr>
        <w:pStyle w:val="Compact"/>
        <w:numPr>
          <w:ilvl w:val="0"/>
          <w:numId w:val="1007"/>
        </w:numPr>
      </w:pPr>
      <w:r>
        <w:t xml:space="preserve">Tegn en graf med tiden (5, 15 og 30 min) på x-aksen og antal bobler pr. minut på y-aksen. Plot alle fire kolber i samme koordinatsystem med hver sin kurve eller signatur, så de er til at kende fra hinanden. Husk aksetitler med enheder, forklaring/signaturforklaring, figurnummer og figurtekst.</w:t>
      </w:r>
    </w:p>
    <w:p>
      <w:pPr>
        <w:pStyle w:val="Compact"/>
        <w:numPr>
          <w:ilvl w:val="0"/>
          <w:numId w:val="1007"/>
        </w:numPr>
      </w:pPr>
      <w:r>
        <w:t xml:space="preserve">Antal bobler pr. minut er et udtryk for</w:t>
      </w:r>
      <w:r>
        <w:t xml:space="preserve"> </w:t>
      </w:r>
      <w:r>
        <w:rPr>
          <w:i/>
          <w:iCs/>
        </w:rPr>
        <w:t xml:space="preserve">gæringshastigheden</w:t>
      </w:r>
      <w:r>
        <w:t xml:space="preserve"> </w:t>
      </w:r>
      <w:r>
        <w:t xml:space="preserve">— hvor hurtigt gæren omsætter sukker til CO₂. Beskriv ud fra jeres graf, om hastigheden stiger, falder eller er nogenlunde konstant i løbet af de 30 minutter for hver kolbe, og aflæs, hvornår hver kolbe gærede hurtigst.</w:t>
      </w:r>
    </w:p>
    <w:p>
      <w:pPr>
        <w:pStyle w:val="Compact"/>
        <w:numPr>
          <w:ilvl w:val="0"/>
          <w:numId w:val="1007"/>
        </w:numPr>
      </w:pPr>
      <w:r>
        <w:t xml:space="preserve">Sammenlign kolberne parvis ud fra</w:t>
      </w:r>
      <w:r>
        <w:t xml:space="preserve"> </w:t>
      </w:r>
      <w:hyperlink w:anchor="tbl-1">
        <w:r>
          <w:rPr>
            <w:rStyle w:val="Hyperlink"/>
          </w:rPr>
          <w:t xml:space="preserve">Tabel 1</w:t>
        </w:r>
      </w:hyperlink>
      <w:r>
        <w:t xml:space="preserve"> </w:t>
      </w:r>
      <w:r>
        <w:t xml:space="preserve">— både tiden til den første boble og bobletallene:</w:t>
      </w:r>
    </w:p>
    <w:p>
      <w:pPr>
        <w:pStyle w:val="Compact"/>
        <w:numPr>
          <w:ilvl w:val="1"/>
          <w:numId w:val="1008"/>
        </w:numPr>
      </w:pPr>
      <w:r>
        <w:t xml:space="preserve">kolbe 2 og 3 (stuetemperatur mod håndvarmt),</w:t>
      </w:r>
    </w:p>
    <w:p>
      <w:pPr>
        <w:pStyle w:val="Compact"/>
        <w:numPr>
          <w:ilvl w:val="1"/>
          <w:numId w:val="1008"/>
        </w:numPr>
      </w:pPr>
      <w:r>
        <w:t xml:space="preserve">kolbe 3 og 4 (håndvarmt mod varmt),</w:t>
      </w:r>
    </w:p>
    <w:p>
      <w:pPr>
        <w:pStyle w:val="Compact"/>
        <w:numPr>
          <w:ilvl w:val="1"/>
          <w:numId w:val="1008"/>
        </w:numPr>
      </w:pPr>
      <w:r>
        <w:t xml:space="preserve">kolbe 1 og 2 (gæren rørt ud tørt i sukker mod gæren rørt ud i sukkervand, samme temperatur).</w:t>
      </w:r>
    </w:p>
    <w:p>
      <w:pPr>
        <w:pStyle w:val="Compact"/>
        <w:numPr>
          <w:ilvl w:val="0"/>
          <w:numId w:val="1007"/>
        </w:numPr>
      </w:pPr>
      <w:r>
        <w:t xml:space="preserve">Sammenlign tidspunktet for BTB’s farveskift i hver kolbe med tidspunktet for den første boble og med bobletallene.</w:t>
      </w:r>
    </w:p>
    <w:p>
      <w:pPr>
        <w:pStyle w:val="Compact"/>
        <w:numPr>
          <w:ilvl w:val="0"/>
          <w:numId w:val="1007"/>
        </w:numPr>
      </w:pPr>
      <w:r>
        <w:t xml:space="preserve">Skriv jeres målte temperaturer for kolbe 3 og 4 samt bobletallene efter 15 minutter ind i klassens skema (</w:t>
      </w:r>
      <w:hyperlink w:anchor="tbl-2">
        <w:r>
          <w:rPr>
            <w:rStyle w:val="Hyperlink"/>
          </w:rPr>
          <w:t xml:space="preserve">Tabel 2</w:t>
        </w:r>
      </w:hyperlink>
      <w:r>
        <w:t xml:space="preserve">). Afsæt klassens tal i et punktdiagram med temperatur på x-aksen og bobler pr. minut på y-aksen. Følger tallene på tværs af klassen samme mønster som jeres egen graf?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6" w:name="tbl-2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2: Klassens temperaturer og gæringshastigheder for kolbe 3 og 4.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320"/>
              <w:gridCol w:w="1650"/>
              <w:gridCol w:w="1650"/>
              <w:gridCol w:w="1650"/>
              <w:gridCol w:w="1650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Gruppe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Temp. kolbe 3 (°C)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Bobler/min, kolbe 3 (15 min)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Temp. kolbe 4 (°C)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Bobler/min, kolbe 4 (15 min)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Vores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36"/>
          <w:p/>
        </w:tc>
      </w:tr>
    </w:tbl>
    <w:bookmarkEnd w:id="37"/>
    <w:bookmarkStart w:id="38" w:name="journalspørgsmål"/>
    <w:p>
      <w:pPr>
        <w:pStyle w:val="Heading2"/>
      </w:pPr>
      <w:r>
        <w:t xml:space="preserve">Journalspørgsmål</w:t>
      </w:r>
    </w:p>
    <w:p>
      <w:pPr>
        <w:pStyle w:val="Compact"/>
        <w:numPr>
          <w:ilvl w:val="0"/>
          <w:numId w:val="1009"/>
        </w:numPr>
      </w:pPr>
      <w:r>
        <w:t xml:space="preserve">Hvad er det, der bobler ud af gærrøret? Forklar med reaktionsskemaet for alkoholgæring, og forklar, hvorfor gæren gærer frem for at respirere inde i den lukkede kolbe.</w:t>
      </w:r>
    </w:p>
    <w:p>
      <w:pPr>
        <w:pStyle w:val="Compact"/>
        <w:numPr>
          <w:ilvl w:val="0"/>
          <w:numId w:val="1009"/>
        </w:numPr>
      </w:pPr>
      <w:r>
        <w:t xml:space="preserve">Hvorfor er det bedst at lune væsken, når man bager? Brug jeres sammenligning af kolbe 2 og 3 og begreberne</w:t>
      </w:r>
      <w:r>
        <w:t xml:space="preserve"> </w:t>
      </w:r>
      <w:r>
        <w:rPr>
          <w:i/>
          <w:iCs/>
        </w:rPr>
        <w:t xml:space="preserve">enzym</w:t>
      </w:r>
      <w:r>
        <w:t xml:space="preserve"> </w:t>
      </w:r>
      <w:r>
        <w:t xml:space="preserve">og</w:t>
      </w:r>
      <w:r>
        <w:t xml:space="preserve"> </w:t>
      </w:r>
      <w:r>
        <w:rPr>
          <w:i/>
          <w:iCs/>
        </w:rPr>
        <w:t xml:space="preserve">optimumstemperatur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Hvorfor må dejen ikke blive mere end håndvarm? Brug jeres sammenligning af kolbe 3 og 4, og forklar, hvad der sker med gærens enzymer ved høj temperatur. Gærede den varmeste kolbe langsommere end forventet?</w:t>
      </w:r>
    </w:p>
    <w:p>
      <w:pPr>
        <w:pStyle w:val="Compact"/>
        <w:numPr>
          <w:ilvl w:val="0"/>
          <w:numId w:val="1009"/>
        </w:numPr>
      </w:pPr>
      <w:r>
        <w:t xml:space="preserve">Tidligere rørte man gæren ud i salt eller sukker, før væsken blev tilsat. Hvad viser forskellen mellem kolbe 1 og 2 om, hvorfor det er bedre at røre gæren ud i væske først? (Tænk på osmose.)</w:t>
      </w:r>
    </w:p>
    <w:p>
      <w:pPr>
        <w:pStyle w:val="Compact"/>
        <w:numPr>
          <w:ilvl w:val="0"/>
          <w:numId w:val="1009"/>
        </w:numPr>
      </w:pPr>
      <w:r>
        <w:t xml:space="preserve">CO₂ opløses i vandet og danner kulsyre (</w:t>
      </w:r>
      <m:oMath>
        <m:sSub>
          <m:e>
            <m:r>
              <m:rPr>
                <m:nor/>
                <m:sty m:val="p"/>
              </m:rPr>
              <m:t>CO</m:t>
            </m:r>
          </m:e>
          <m:sub>
            <m:r>
              <m:t>2</m:t>
            </m:r>
          </m:sub>
        </m:sSub>
        <m:r>
          <m:rPr>
            <m:sty m:val="p"/>
          </m:rPr>
          <m:t>+</m:t>
        </m:r>
        <m:sSub>
          <m:e>
            <m:r>
              <m:rPr>
                <m:nor/>
                <m:sty m:val="p"/>
              </m:rPr>
              <m:t>H</m:t>
            </m:r>
          </m:e>
          <m:sub>
            <m:r>
              <m:t>2</m:t>
            </m:r>
          </m:sub>
        </m:sSub>
        <m:r>
          <m:rPr>
            <m:nor/>
            <m:sty m:val="p"/>
          </m:rPr>
          <m:t>O</m:t>
        </m:r>
        <m:r>
          <m:rPr>
            <m:sty m:val="p"/>
          </m:rPr>
          <m:t>→</m:t>
        </m:r>
        <m:sSub>
          <m:e>
            <m:r>
              <m:rPr>
                <m:nor/>
                <m:sty m:val="p"/>
              </m:rPr>
              <m:t>H</m:t>
            </m:r>
          </m:e>
          <m:sub>
            <m:r>
              <m:t>2</m:t>
            </m:r>
          </m:sub>
        </m:sSub>
        <m:sSub>
          <m:e>
            <m:r>
              <m:rPr>
                <m:nor/>
                <m:sty m:val="p"/>
              </m:rPr>
              <m:t>CO</m:t>
            </m:r>
          </m:e>
          <m:sub>
            <m:r>
              <m:t>3</m:t>
            </m:r>
          </m:sub>
        </m:sSub>
      </m:oMath>
      <w:r>
        <w:t xml:space="preserve">), som sænker pH. Forklar BTB’s farveskift, og diskutér, om farveskiftet hænger sammen med, hvor hurtigt kolben gærede.</w:t>
      </w:r>
    </w:p>
    <w:p>
      <w:pPr>
        <w:pStyle w:val="Compact"/>
        <w:numPr>
          <w:ilvl w:val="0"/>
          <w:numId w:val="1009"/>
        </w:numPr>
      </w:pPr>
      <w:r>
        <w:t xml:space="preserve">Mel indeholder ikke sukker, men stivelse. Hvordan kan gæren alligevel hæve en dej uden tilsat sukker?</w:t>
      </w:r>
    </w:p>
    <w:p>
      <w:pPr>
        <w:pStyle w:val="Compact"/>
        <w:numPr>
          <w:ilvl w:val="0"/>
          <w:numId w:val="1009"/>
        </w:numPr>
      </w:pPr>
      <w:r>
        <w:t xml:space="preserve">Hvilke fejlkilder var der — fx et gærrør, der proppede til, en forkert aflæst temperatur eller en forsinket start — og hvilken vej trak de resultatet?</w:t>
      </w:r>
    </w:p>
    <w:p>
      <w:pPr>
        <w:pStyle w:val="Compact"/>
        <w:numPr>
          <w:ilvl w:val="0"/>
          <w:numId w:val="1009"/>
        </w:numPr>
      </w:pPr>
      <w:r>
        <w:t xml:space="preserve">Skriv en kort konklusion: hvordan påvirkede temperaturen gæringshastigheden, hvad viste kolbe 1, og hvordan stemte BTB-farveskiftet overens med bobletællingerne?</w:t>
      </w:r>
    </w:p>
    <w:bookmarkEnd w:id="38"/>
    <w:sectPr>
      <w:headerReference r:id="rId7" w:type="default"/>
      <w:footerReference r:id="rId8" w:type="default"/>
      <w:pgSz w:h="16838" w:orient="portrait" w:w="11906"/>
      <w:pgMar w:bottom="1224" w:footer="500" w:gutter="0" w:header="500" w:left="1152" w:right="1152" w:top="1224"/>
      <w:pgNumType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="http://schemas.openxmlformats.org/wordprocessingml/2006/main">
  <w:p>
    <w:pPr>
      <w:pBdr>
        <w:top w:val="single" w:color="A9BBA1" w:sz="4" w:space="6"/>
      </w:pBdr>
      <w:tabs>
        <w:tab w:val="right" w:pos="9026"/>
      </w:tabs>
    </w:pPr>
    <w:r>
      <w:rPr>
        <w:rFonts w:ascii="Calibri" w:cs="Calibri" w:eastAsia="Calibri" w:hAnsi="Calibri"/>
        <w:i/>
        <w:iCs/>
        <w:color w:val="6B7A66"/>
        <w:sz w:val="16"/>
        <w:szCs w:val="16"/>
      </w:rPr>
      <w:t xml:space="preserve">Øvelsesvejledning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z w:val="16"/>
        <w:szCs w:val="16"/>
      </w:rPr>
      <w:t xml:space="preserve">Side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66"/>
        <w:sz w:val="16"/>
        <w:szCs w:val="16"/>
      </w:rPr>
      <w:t xml:space="preserve"> af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>
  <w:p>
    <w:pPr>
      <w:pBdr>
        <w:bottom w:val="single" w:color="A9BBA1" w:sz="4" w:space="6"/>
      </w:pBdr>
      <w:tabs>
        <w:tab w:val="right" w:pos="9026"/>
      </w:tabs>
      <w:spacing w:after="0"/>
    </w:pPr>
    <w:r>
      <w:rPr>
        <w:rFonts w:ascii="Calibri" w:cs="Calibri" w:eastAsia="Calibri" w:hAnsi="Calibri"/>
        <w:b/>
        <w:bCs/>
        <w:color w:val="6B7A66"/>
        <w:spacing w:val="18"/>
        <w:sz w:val="16"/>
        <w:szCs w:val="16"/>
      </w:rPr>
      <w:t xml:space="preserve">BIOLOGI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pacing w:val="10"/>
        <w:sz w:val="16"/>
        <w:szCs w:val="16"/>
      </w:rPr>
      <w:t xml:space="preserve"/>
    </w:r>
  </w:p>
</w:hdr>
</file>

<file path=word/numbering.xml><?xml version="1.0" encoding="utf-8"?>
<w:numbering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15:restartNumberingAfterBreak="0" w:abstractNumId="1">
    <w:multiLevelType w:val="hybridMultilevel"/>
    <w:lvl w15:tentative="1" w:ilvl="0">
      <w:start w:val="1"/>
      <w:numFmt w:val="bullet"/>
      <w:lvlText w:val="●"/>
      <w:lvlJc w:val="left"/>
      <w:pPr>
        <w:ind w:hanging="360" w:left="720"/>
      </w:pPr>
    </w:lvl>
    <w:lvl w15:tentative="1" w:ilvl="1">
      <w:start w:val="1"/>
      <w:numFmt w:val="bullet"/>
      <w:lvlText w:val="○"/>
      <w:lvlJc w:val="left"/>
      <w:pPr>
        <w:ind w:hanging="360" w:left="1440"/>
      </w:pPr>
    </w:lvl>
    <w:lvl w15:tentative="1" w:ilvl="2">
      <w:start w:val="1"/>
      <w:numFmt w:val="bullet"/>
      <w:lvlText w:val="■"/>
      <w:lvlJc w:val="left"/>
      <w:pPr>
        <w:ind w:hanging="360" w:left="2160"/>
      </w:pPr>
    </w:lvl>
    <w:lvl w15:tentative="1" w:ilvl="3">
      <w:start w:val="1"/>
      <w:numFmt w:val="bullet"/>
      <w:lvlText w:val="●"/>
      <w:lvlJc w:val="left"/>
      <w:pPr>
        <w:ind w:hanging="360" w:left="2880"/>
      </w:pPr>
    </w:lvl>
    <w:lvl w15:tentative="1" w:ilvl="4">
      <w:start w:val="1"/>
      <w:numFmt w:val="bullet"/>
      <w:lvlText w:val="○"/>
      <w:lvlJc w:val="left"/>
      <w:pPr>
        <w:ind w:hanging="360" w:left="3600"/>
      </w:pPr>
    </w:lvl>
    <w:lvl w15:tentative="1" w:ilvl="5">
      <w:start w:val="1"/>
      <w:numFmt w:val="bullet"/>
      <w:lvlText w:val="■"/>
      <w:lvlJc w:val="left"/>
      <w:pPr>
        <w:ind w:hanging="360" w:left="4320"/>
      </w:pPr>
    </w:lvl>
    <w:lvl w15:tentative="1" w:ilvl="6">
      <w:start w:val="1"/>
      <w:numFmt w:val="bullet"/>
      <w:lvlText w:val="●"/>
      <w:lvlJc w:val="left"/>
      <w:pPr>
        <w:ind w:hanging="360" w:left="5040"/>
      </w:pPr>
    </w:lvl>
    <w:lvl w15:tentative="1" w:ilvl="7">
      <w:start w:val="1"/>
      <w:numFmt w:val="bullet"/>
      <w:lvlText w:val="●"/>
      <w:lvlJc w:val="left"/>
      <w:pPr>
        <w:ind w:hanging="360" w:left="5760"/>
      </w:pPr>
    </w:lvl>
    <w:lvl w15:tentative="1" w:ilvl="8">
      <w:start w:val="1"/>
      <w:numFmt w:val="bullet"/>
      <w:lvlText w:val="●"/>
      <w:lvlJc w:val="left"/>
      <w:pPr>
        <w:ind w:hanging="360" w:left="6480"/>
      </w:pPr>
    </w:lvl>
  </w:abstractNum>
  <w:abstractNum w15:restartNumberingAfterBreak="0" w:abstractNumId="2">
    <w:multiLevelType w:val="hybridMultilevel"/>
    <w:lvl w15:tentative="1" w:ilvl="0">
      <w:start w:val="1"/>
      <w:numFmt w:val="decimal"/>
      <w:lvlText w:val="%1."/>
      <w:lvlJc w:val="start"/>
      <w:pPr>
        <w:ind w:hanging="300" w:left="420"/>
      </w:pPr>
    </w:lvl>
  </w:abstractNum>
  <w:abstractNum w15:restartNumberingAfterBreak="0" w:abstractNumId="3">
    <w:multiLevelType w:val="hybridMultilevel"/>
    <w:lvl w15:tentative="1" w:ilvl="0">
      <w:start w:val="1"/>
      <w:numFmt w:val="bullet"/>
      <w:lvlText w:val="–"/>
      <w:lvlJc w:val="start"/>
      <w:pPr>
        <w:ind w:hanging="200" w:left="3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displayBackgroundShape/>
  <w:embedSystemFonts/>
  <w:proofState w:grammar="clean" w:spelling="clean"/>
  <w:stylePaneFormatFilter w:val="0004"/>
  <w:doNotTrackMoves/>
  <w:defaultTabStop w:val="720"/>
  <w:evenAndOddHeaders w:val="false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</w:compat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6332B"/>
        <w:sz w:val="22"/>
        <w:szCs w:val="22"/>
        <w:lang w:val="da"/>
      </w:rPr>
    </w:rPrDefault>
    <w:pPrDefault>
      <w:pPr>
        <w:spacing w:after="140" w:line="276" w:lineRule="auto"/>
      </w:pPr>
    </w:pPrDefault>
  </w:docDefaults>
  <w:style w:default="1" w:styleId="Normal" w:type="paragraph">
    <w:name w:val="Normal"/>
    <w:qFormat/>
  </w:style>
  <w:style w:styleId="Title" w:type="paragraph">
    <w:name w:val="Title"/>
    <w:basedOn w:val="Normal"/>
    <w:next w:val="Normal"/>
    <w:qFormat/>
    <w:pPr>
      <w:spacing w:after="80" w:before="40"/>
    </w:pPr>
    <w:rPr>
      <w:b/>
      <w:bCs/>
      <w:color w:val="2C4527"/>
      <w:sz w:val="52"/>
      <w:szCs w:val="52"/>
    </w:rPr>
  </w:style>
  <w:style w:styleId="Subtitle" w:type="paragraph">
    <w:name w:val="Subtitle"/>
    <w:basedOn w:val="Normal"/>
    <w:next w:val="Normal"/>
    <w:qFormat/>
    <w:pPr>
      <w:spacing w:after="220" w:before="0"/>
    </w:pPr>
    <w:rPr>
      <w:color w:val="6B7A66"/>
      <w:sz w:val="20"/>
    </w:rPr>
  </w:style>
  <w:style w:styleId="Heading1" w:type="paragraph">
    <w:name w:val="Heading 1"/>
    <w:basedOn w:val="Normal"/>
    <w:next w:val="Normal"/>
    <w:qFormat/>
    <w:pPr>
      <w:pBdr>
        <w:left w:color="3F5F3A" w:space="8" w:sz="18" w:val="single"/>
      </w:pBdr>
      <w:spacing w:after="140" w:before="320"/>
      <w:ind w:left="140"/>
    </w:pPr>
    <w:rPr>
      <w:b/>
      <w:bCs/>
      <w:color w:val="2C4527"/>
      <w:sz w:val="32"/>
      <w:szCs w:val="32"/>
    </w:rPr>
  </w:style>
  <w:style w:styleId="Heading2" w:type="paragraph">
    <w:name w:val="Heading 2"/>
    <w:basedOn w:val="Normal"/>
    <w:next w:val="Normal"/>
    <w:qFormat/>
    <w:pPr>
      <w:pBdr>
        <w:left w:color="3F5F3A" w:space="8" w:sz="18" w:val="single"/>
      </w:pBdr>
      <w:spacing w:after="120" w:before="300"/>
      <w:ind w:left="140"/>
    </w:pPr>
    <w:rPr>
      <w:b/>
      <w:bCs/>
      <w:color w:val="2C4527"/>
      <w:sz w:val="27"/>
      <w:szCs w:val="27"/>
    </w:rPr>
  </w:style>
  <w:style w:styleId="Heading3" w:type="paragraph">
    <w:name w:val="Heading 3"/>
    <w:basedOn w:val="Normal"/>
    <w:next w:val="Normal"/>
    <w:qFormat/>
    <w:pPr>
      <w:spacing w:after="100" w:before="200"/>
    </w:pPr>
    <w:rPr>
      <w:b/>
      <w:bCs/>
      <w:color w:val="3F5F3A"/>
      <w:sz w:val="24"/>
      <w:szCs w:val="24"/>
    </w:rPr>
  </w:style>
  <w:style w:styleId="Heading4" w:type="paragraph">
    <w:name w:val="Heading 4"/>
    <w:basedOn w:val="Normal"/>
    <w:next w:val="Normal"/>
    <w:qFormat/>
    <w:rPr>
      <w:i/>
      <w:iCs/>
      <w:color w:val="3F5F3A"/>
    </w:rPr>
  </w:style>
  <w:style w:styleId="Heading5" w:type="paragraph">
    <w:name w:val="Heading 5"/>
    <w:basedOn w:val="Normal"/>
    <w:next w:val="Normal"/>
    <w:qFormat/>
    <w:rPr>
      <w:color w:val="3F5F3A"/>
    </w:rPr>
  </w:style>
  <w:style w:styleId="Heading6" w:type="paragraph">
    <w:name w:val="Heading 6"/>
    <w:basedOn w:val="Normal"/>
    <w:next w:val="Normal"/>
    <w:qFormat/>
    <w:rPr>
      <w:color w:val="6B7A66"/>
    </w:rPr>
  </w:style>
  <w:style w:styleId="Strong" w:type="paragraph">
    <w:name w:val="Strong"/>
    <w:basedOn w:val="Normal"/>
    <w:next w:val="Normal"/>
    <w:qFormat/>
    <w:rPr>
      <w:b/>
      <w:bCs/>
    </w:rPr>
  </w:style>
  <w:style w:styleId="ListParagraph" w:type="paragraph">
    <w:name w:val="List Paragraph"/>
    <w:basedOn w:val="Normal"/>
    <w:qFormat/>
  </w:style>
  <w:style w:styleId="BodyText" w:type="paragraph">
    <w:name w:val="Body Text"/>
    <w:basedOn w:val="Normal"/>
    <w:next w:val="Normal"/>
    <w:qFormat/>
  </w:style>
  <w:style w:styleId="FirstParagraph" w:type="paragraph">
    <w:name w:val="First Paragraph"/>
    <w:basedOn w:val="Normal"/>
    <w:next w:val="Normal"/>
    <w:qFormat/>
    <w:pPr>
      <w:spacing w:before="0"/>
    </w:pPr>
  </w:style>
  <w:style w:styleId="Compact" w:type="paragraph">
    <w:name w:val="Compact"/>
    <w:basedOn w:val="ListParagraph"/>
    <w:next w:val="Compact"/>
    <w:qFormat/>
    <w:pPr>
      <w:spacing w:after="90" w:line="276" w:lineRule="auto"/>
    </w:pPr>
  </w:style>
  <w:style w:styleId="CaptionedFigure" w:type="paragraph">
    <w:name w:val="Captioned Figure"/>
    <w:basedOn w:val="Normal"/>
    <w:next w:val="Normal"/>
    <w:qFormat/>
    <w:pPr>
      <w:spacing w:after="0" w:before="120"/>
      <w:jc w:val="center"/>
    </w:pPr>
  </w:style>
  <w:style w:styleId="Caption" w:type="paragraph">
    <w:name w:val="Caption"/>
    <w:basedOn w:val="Normal"/>
    <w:next w:val="Normal"/>
    <w:qFormat/>
    <w:pPr>
      <w:spacing w:after="220" w:before="100"/>
      <w:jc w:val="center"/>
    </w:pPr>
    <w:rPr>
      <w:i/>
      <w:iCs/>
      <w:color w:val="6B7A66"/>
      <w:sz w:val="19"/>
      <w:szCs w:val="19"/>
    </w:rPr>
  </w:style>
  <w:style w:styleId="ImageCaption" w:type="paragraph">
    <w:name w:val="Image Caption"/>
    <w:basedOn w:val="Caption"/>
    <w:next w:val="Normal"/>
    <w:qFormat/>
  </w:style>
  <w:style w:styleId="Table" w:type="table">
    <w:name w:val="Table"/>
    <w:basedOn w:val="TableNormal"/>
    <w:uiPriority w:val="99"/>
    <w:pPr>
      <w:spacing w:after="0" w:line="256" w:lineRule="auto"/>
    </w:pPr>
    <w:tblPr>
      <w:tblBorders>
        <w:top w:color="8FA085" w:space="0" w:sz="4" w:val="single"/>
        <w:left w:color="8FA085" w:space="0" w:sz="4" w:val="single"/>
        <w:bottom w:color="8FA085" w:space="0" w:sz="4" w:val="single"/>
        <w:right w:color="8FA085" w:space="0" w:sz="4" w:val="single"/>
        <w:insideH w:color="C7D0C0" w:space="0" w:sz="4" w:val="single"/>
        <w:insideV w:color="C7D0C0" w:space="0" w:sz="4" w:val="single"/>
      </w:tblBorders>
    </w:tblPr>
    <w:tcPr>
      <w:tcMar>
        <w:top w:type="dxa" w:w="90"/>
        <w:left w:type="dxa" w:w="120"/>
        <w:bottom w:type="dxa" w:w="90"/>
        <w:right w:type="dxa" w:w="120"/>
      </w:tcMar>
    </w:tcPr>
  </w:style>
  <w:style w:default="1" w:styleId="TableNormal" w:type="table">
    <w:name w:val="Normal Table"/>
    <w:uiPriority w:val="99"/>
    <w:semiHidden/>
    <w:unhideWhenUsed/>
    <w:tblPr>
      <w:tblCellMar>
        <w:top w:type="dxa" w:w="0"/>
        <w:left w:type="dxa" w:w="108"/>
        <w:bottom w:type="dxa" w:w="0"/>
        <w:right w:type="dxa" w:w="108"/>
      </w:tblCellMar>
    </w:tblPr>
  </w:style>
  <w:style w:styleId="FirstRow" w:type="table">
    <w:name w:val="First Row"/>
    <w:basedOn w:val="Table"/>
    <w:uiPriority w:val="99"/>
  </w:style>
  <w:style w:styleId="Hyperlink" w:type="character">
    <w:name w:val="Hyperlink"/>
    <w:basedOn w:val="DefaultParagraphFont"/>
    <w:uiPriority w:val="99"/>
    <w:unhideWhenUsed/>
    <w:rPr>
      <w:color w:val="1F5F8B"/>
      <w:u w:val="single"/>
    </w:rPr>
  </w:style>
  <w:style w:styleId="FootnoteReference" w:type="character">
    <w:name w:val="footnote reference"/>
    <w:basedOn w:val="DefaultParagraphFont"/>
    <w:uiPriority w:val="99"/>
    <w:semiHidden/>
    <w:unhideWhenUsed/>
    <w:rPr>
      <w:vertAlign w:val="superscript"/>
    </w:rPr>
  </w:style>
  <w:style w:styleId="FootnoteText" w:type="paragraph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FootnoteTextChar" w:type="characte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styleId="EndnoteReference" w:type="character">
    <w:name w:val="endnote reference"/>
    <w:basedOn w:val="DefaultParagraphFont"/>
    <w:uiPriority w:val="99"/>
    <w:semiHidden/>
    <w:unhideWhenUsed/>
    <w:rPr>
      <w:vertAlign w:val="superscript"/>
    </w:rPr>
  </w:style>
  <w:style w:styleId="EndnoteText" w:type="paragraph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EndnoteTextChar" w:type="characte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8" Target="numbering.xml" /><Relationship Type="http://schemas.openxmlformats.org/officeDocument/2006/relationships/styles" Id="rId17" Target="styles.xml" /><Relationship Type="http://schemas.openxmlformats.org/officeDocument/2006/relationships/settings" Id="rId16" Target="settings.xml" /><Relationship Type="http://schemas.openxmlformats.org/officeDocument/2006/relationships/webSettings" Id="rId15" Target="webSettings.xml" /><Relationship Type="http://schemas.openxmlformats.org/officeDocument/2006/relationships/fontTable" Id="rId14" Target="fontTable.xml" /><Relationship Type="http://schemas.openxmlformats.org/officeDocument/2006/relationships/theme" Id="rId13" Target="theme/theme1.xml" /><Relationship Type="http://schemas.openxmlformats.org/officeDocument/2006/relationships/footnotes" Id="rId12" Target="footnotes.xml" /><Relationship Type="http://schemas.openxmlformats.org/officeDocument/2006/relationships/comments" Id="rId11" Target="comments.xml" /><Relationship Id="rId7" Target="header1.xml" Type="http://schemas.openxmlformats.org/officeDocument/2006/relationships/header" /><Relationship Id="rId8" Target="footer1.xml" Type="http://schemas.openxmlformats.org/officeDocument/2006/relationships/footer" /><Relationship Id="rId9" Target="media/ff4355ab3d7b3fb047ac1bb9b81f09919282c810.png" Type="http://schemas.openxmlformats.org/officeDocument/2006/relationships/image" /><Relationship Id="rId10" Target="media/22118e1eede36edf4136c10d3e20d9ff95fafa9e.png" Type="http://schemas.openxmlformats.org/officeDocument/2006/relationships/image" /><Relationship Type="http://schemas.openxmlformats.org/officeDocument/2006/relationships/image" Id="rId29" Target="media/rId29.png" /><Relationship Type="http://schemas.openxmlformats.org/officeDocument/2006/relationships/image" Id="rId26" Target="media/rId26.png" /><Relationship Type="http://schemas.openxmlformats.org/officeDocument/2006/relationships/image" Id="rId23" Target="media/rId23.png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 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Gærforsøg — bobleforsøg</dc:title>
  <dc:creator/>
  <dc:language>da</dc:language>
  <cp:keywords/>
  <dcterms:created xsi:type="dcterms:W3CDTF">2026-10-14T09:07:49Z</dcterms:created>
  <dcterms:modified xsi:type="dcterms:W3CDTF">2026-10-14T09:07:49Z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doc-type">
    <vt:lpwstr>Øvelsesvejledning</vt:lpwstr>
  </property>
  <property fmtid="{D5CDD505-2E9C-101B-9397-08002B2CF9AE}" pid="4" name="fag">
    <vt:lpwstr>Biologi</vt:lpwstr>
  </property>
  <property fmtid="{D5CDD505-2E9C-101B-9397-08002B2CF9AE}" pid="5" name="header-includes">
    <vt:lpwstr/>
  </property>
  <property fmtid="{D5CDD505-2E9C-101B-9397-08002B2CF9AE}" pid="6" name="hold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subtitle">
    <vt:lpwstr>Laboratorieøvelse</vt:lpwstr>
  </property>
  <property fmtid="{D5CDD505-2E9C-101B-9397-08002B2CF9AE}" pid="11" name="toc-title">
    <vt:lpwstr>Indholdsfortegnelse</vt:lpwstr>
  </property>
</Properties>
</file>