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8.png" ContentType="image/png"/>
  <Override PartName="/word/media/rId31.png" ContentType="image/png"/>
  <Override PartName="/word/media/rId37.png" ContentType="image/png"/>
  <Override PartName="/word/media/rId20.jpg" ContentType="image/jpe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Solfangerforsøg</w:t>
      </w:r>
    </w:p>
    <w:p>
      <w:pPr>
        <w:pStyle w:val="Subtitle"/>
      </w:pPr>
      <w:r>
        <w:t xml:space="preserve">Hvor stor en del af lyset bliver til varmt vand?</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En solfanger omsætter solens stråling til varme, som fx kan bruges til varmt brugsvand eller fjernvarme. I denne øvelse belyser I en lille solfanger med en kraftig lampe i 30 minutter og måler, hvor meget vandet i en lagertank bliver opvarmet. Ud fra det beregner I solfangerens nyttevirkning: hvor stor en del af den indstrålede energi der ender som varme i vandet.</w:t>
      </w:r>
    </w:p>
    <w:bookmarkEnd w:id="19"/>
    <w:bookmarkStart w:id="27" w:name="baggrund"/>
    <w:p>
      <w:pPr>
        <w:pStyle w:val="Heading2"/>
      </w:pPr>
      <w:r>
        <w:t xml:space="preserve">Baggrund</w:t>
      </w:r>
    </w:p>
    <w:p>
      <w:pPr>
        <w:pStyle w:val="FirstParagraph"/>
      </w:pPr>
      <w:r>
        <w:t xml:space="preserve">Solfangerens absorber er en sortmalet metalplade med påloddede kobberrør. Den sorte flade absorberer det meste af lyset og bliver varm. Bagsiden er isoleret, og på forsiden sidder en gennemsigtig akrylplade, der mindsker varmetabet ved konvektion. En lille cirkulationspumpe fører vand rundt i et lukket kredsløb: gennem kobberrørene i solfangeren og videre gennem en kobberspiral i lagertanken. Spiralen er en varmeveksler — den afgiver varmen til vandet i tanken uden at de to vandmængder blandes. Tanken svarer til varmtvandsbeholderen i et hus.</w:t>
      </w:r>
    </w:p>
    <w:tbl>
      <w:tblPr>
        <w:tblStyle w:val="Table"/>
        <w:tblW w:type="pct" w:w="5000"/>
        <w:tblLayout w:type="fixed"/>
        <w:tblLook w:firstRow="0" w:lastRow="0" w:firstColumn="0" w:lastColumn="0" w:noHBand="0" w:noVBand="0" w:val="0000"/>
      </w:tblPr>
      <w:tblGrid>
        <w:gridCol w:w="7920"/>
      </w:tblGrid>
      <w:tr>
        <w:tc>
          <w:tcPr/>
          <w:bookmarkStart w:id="23" w:name="fig-opstilling"/>
          <w:p>
            <w:pPr>
              <w:pStyle w:val="Compact"/>
              <w:jc w:val="center"/>
            </w:pPr>
            <w:r>
              <w:drawing>
                <wp:inline>
                  <wp:extent cx="5181600" cy="3895972"/>
                  <wp:effectExtent b="0" l="0" r="0" t="0"/>
                  <wp:docPr descr="" title="" id="21" name="Picture"/>
                  <a:graphic>
                    <a:graphicData uri="http://schemas.openxmlformats.org/drawingml/2006/picture">
                      <pic:pic>
                        <pic:nvPicPr>
                          <pic:cNvPr descr="figurer/opstilling.jpg" id="22" name="Picture"/>
                          <pic:cNvPicPr>
                            <a:picLocks noChangeArrowheads="1" noChangeAspect="1"/>
                          </pic:cNvPicPr>
                        </pic:nvPicPr>
                        <pic:blipFill>
                          <a:blip r:embed="rId20"/>
                          <a:stretch>
                            <a:fillRect/>
                          </a:stretch>
                        </pic:blipFill>
                        <pic:spPr bwMode="auto">
                          <a:xfrm>
                            <a:off x="0" y="0"/>
                            <a:ext cx="5181600" cy="3895972"/>
                          </a:xfrm>
                          <a:prstGeom prst="rect">
                            <a:avLst/>
                          </a:prstGeom>
                          <a:noFill/>
                          <a:ln w="9525">
                            <a:noFill/>
                            <a:headEnd/>
                            <a:tailEnd/>
                          </a:ln>
                        </pic:spPr>
                      </pic:pic>
                    </a:graphicData>
                  </a:graphic>
                </wp:inline>
              </w:drawing>
            </w:r>
          </w:p>
          <w:p>
            <w:pPr>
              <w:jc w:val="center"/>
            </w:pPr>
            <w:pPr>
              <w:jc w:val="left"/>
              <w:spacing w:before="200"/>
              <w:pStyle w:val="ImageCaption"/>
            </w:pPr>
            <w:r>
              <w:t xml:space="preserve">Figur 1: Opstillingen: lampen («solen») hænger i stativet til venstre, solfangeren står i midten, og lagertanken med kobberspiralen står til højre.</w:t>
            </w:r>
          </w:p>
          <w:bookmarkEnd w:id="23"/>
        </w:tc>
      </w:tr>
    </w:tbl>
    <w:bookmarkStart w:id="24" w:name="energi-ind"/>
    <w:p>
      <w:pPr>
        <w:pStyle w:val="Heading3"/>
      </w:pPr>
      <w:r>
        <w:t xml:space="preserve">Energi ind</w:t>
      </w:r>
    </w:p>
    <w:p>
      <w:pPr>
        <w:pStyle w:val="FirstParagraph"/>
      </w:pPr>
      <w:r>
        <w:t xml:space="preserve">Lampens stråling måles med et pyranometer som en</w:t>
      </w:r>
      <w:r>
        <w:t xml:space="preserve"> </w:t>
      </w:r>
      <w:r>
        <w:rPr>
          <w:i/>
          <w:iCs/>
        </w:rPr>
        <w:t xml:space="preserve">bestrålingsstyrke</w:t>
      </w:r>
      <w:r>
        <w:t xml:space="preserve"> </w:t>
      </w:r>
      <m:oMath>
        <m:r>
          <m:t>φ</m:t>
        </m:r>
      </m:oMath>
      <w:r>
        <w:t xml:space="preserve"> </w:t>
      </w:r>
      <w:r>
        <w:t xml:space="preserve">i W/m² (watt pr. kvadratmeter). Den energi, der rammer absorberen i tiden</w:t>
      </w:r>
      <w:r>
        <w:t xml:space="preserve"> </w:t>
      </w:r>
      <m:oMath>
        <m:r>
          <m:t>t</m:t>
        </m:r>
      </m:oMath>
      <w:r>
        <w:t xml:space="preserve">, er</w:t>
      </w:r>
    </w:p>
    <w:p>
      <w:pPr>
        <w:pStyle w:val="BodyText"/>
      </w:pPr>
      <m:oMathPara>
        <m:oMathParaPr>
          <m:jc m:val="center"/>
        </m:oMathParaPr>
        <m:oMath>
          <m:sSub>
            <m:e>
              <m:r>
                <m:t>Q</m:t>
              </m:r>
            </m:e>
            <m:sub>
              <m:r>
                <m:rPr>
                  <m:nor/>
                  <m:sty m:val="p"/>
                </m:rPr>
                <m:t>ind</m:t>
              </m:r>
            </m:sub>
          </m:sSub>
          <m:r>
            <m:rPr>
              <m:sty m:val="p"/>
            </m:rPr>
            <m:t>=</m:t>
          </m:r>
          <m:r>
            <m:t>φ</m:t>
          </m:r>
          <m:r>
            <m:rPr>
              <m:sty m:val="p"/>
            </m:rPr>
            <m:t>⋅</m:t>
          </m:r>
          <m:r>
            <m:t>A</m:t>
          </m:r>
          <m:r>
            <m:rPr>
              <m:sty m:val="p"/>
            </m:rPr>
            <m:t>⋅</m:t>
          </m:r>
          <m:r>
            <m:t>t</m:t>
          </m:r>
        </m:oMath>
      </m:oMathPara>
    </w:p>
    <w:p>
      <w:pPr>
        <w:pStyle w:val="FirstParagraph"/>
      </w:pPr>
      <w:r>
        <w:t xml:space="preserve">hvor</w:t>
      </w:r>
      <w:r>
        <w:t xml:space="preserve"> </w:t>
      </w:r>
      <m:oMath>
        <m:r>
          <m:t>A</m:t>
        </m:r>
      </m:oMath>
      <w:r>
        <w:t xml:space="preserve"> </w:t>
      </w:r>
      <w:r>
        <w:t xml:space="preserve">er absorberens areal i m² og</w:t>
      </w:r>
      <w:r>
        <w:t xml:space="preserve"> </w:t>
      </w:r>
      <m:oMath>
        <m:r>
          <m:t>t</m:t>
        </m:r>
      </m:oMath>
      <w:r>
        <w:t xml:space="preserve"> </w:t>
      </w:r>
      <w:r>
        <w:t xml:space="preserve">er tiden i sekunder. Det giver energien i joule (J), fordi 1 W = 1 J/s.</w:t>
      </w:r>
    </w:p>
    <w:bookmarkEnd w:id="24"/>
    <w:bookmarkStart w:id="25" w:name="energi-opsamlet"/>
    <w:p>
      <w:pPr>
        <w:pStyle w:val="Heading3"/>
      </w:pPr>
      <w:r>
        <w:t xml:space="preserve">Energi opsamlet</w:t>
      </w:r>
    </w:p>
    <w:p>
      <w:pPr>
        <w:pStyle w:val="FirstParagraph"/>
      </w:pPr>
      <w:r>
        <w:t xml:space="preserve">Den energi, vandet i tanken har modtaget, findes ud fra temperaturstigningen:</w:t>
      </w:r>
    </w:p>
    <w:p>
      <w:pPr>
        <w:pStyle w:val="BodyText"/>
      </w:pPr>
      <m:oMathPara>
        <m:oMathParaPr>
          <m:jc m:val="center"/>
        </m:oMathParaPr>
        <m:oMath>
          <m:sSub>
            <m:e>
              <m:r>
                <m:t>Q</m:t>
              </m:r>
            </m:e>
            <m:sub>
              <m:r>
                <m:rPr>
                  <m:nor/>
                  <m:sty m:val="p"/>
                </m:rPr>
                <m:t>vand</m:t>
              </m:r>
            </m:sub>
          </m:sSub>
          <m:r>
            <m:rPr>
              <m:sty m:val="p"/>
            </m:rPr>
            <m:t>=</m:t>
          </m:r>
          <m:sSub>
            <m:e>
              <m:r>
                <m:t>c</m:t>
              </m:r>
            </m:e>
            <m:sub>
              <m:r>
                <m:rPr>
                  <m:nor/>
                  <m:sty m:val="p"/>
                </m:rPr>
                <m:t>vand</m:t>
              </m:r>
            </m:sub>
          </m:sSub>
          <m:r>
            <m:rPr>
              <m:sty m:val="p"/>
            </m:rPr>
            <m:t>⋅</m:t>
          </m:r>
          <m:sSub>
            <m:e>
              <m:r>
                <m:t>m</m:t>
              </m:r>
            </m:e>
            <m:sub>
              <m:r>
                <m:rPr>
                  <m:nor/>
                  <m:sty m:val="p"/>
                </m:rPr>
                <m:t>vand</m:t>
              </m:r>
            </m:sub>
          </m:sSub>
          <m:r>
            <m:rPr>
              <m:sty m:val="p"/>
            </m:rPr>
            <m:t>⋅</m:t>
          </m:r>
          <m:r>
            <m:rPr>
              <m:sty m:val="p"/>
            </m:rPr>
            <m:t>Δ</m:t>
          </m:r>
          <m:r>
            <m:t>T</m:t>
          </m:r>
        </m:oMath>
      </m:oMathPara>
    </w:p>
    <w:p>
      <w:pPr>
        <w:pStyle w:val="FirstParagraph"/>
      </w:pPr>
      <w:r>
        <w:t xml:space="preserve">hvor</w:t>
      </w:r>
      <w:r>
        <w:t xml:space="preserve"> </w:t>
      </w:r>
      <m:oMath>
        <m:sSub>
          <m:e>
            <m:r>
              <m:t>c</m:t>
            </m:r>
          </m:e>
          <m:sub>
            <m:r>
              <m:rPr>
                <m:nor/>
                <m:sty m:val="p"/>
              </m:rPr>
              <m:t>vand</m:t>
            </m:r>
          </m:sub>
        </m:sSub>
      </m:oMath>
      <w:r>
        <w:t xml:space="preserve"> </w:t>
      </w:r>
      <w:r>
        <w:t xml:space="preserve">= 4,18 kJ/(kg·K) er vands specifikke varmekapacitet,</w:t>
      </w:r>
      <w:r>
        <w:t xml:space="preserve"> </w:t>
      </w:r>
      <m:oMath>
        <m:sSub>
          <m:e>
            <m:r>
              <m:t>m</m:t>
            </m:r>
          </m:e>
          <m:sub>
            <m:r>
              <m:rPr>
                <m:nor/>
                <m:sty m:val="p"/>
              </m:rPr>
              <m:t>vand</m:t>
            </m:r>
          </m:sub>
        </m:sSub>
      </m:oMath>
      <w:r>
        <w:t xml:space="preserve"> </w:t>
      </w:r>
      <w:r>
        <w:t xml:space="preserve">er vandets masse i kg, og</w:t>
      </w:r>
      <w:r>
        <w:t xml:space="preserve"> </w:t>
      </w:r>
      <m:oMath>
        <m:r>
          <m:rPr>
            <m:sty m:val="p"/>
          </m:rPr>
          <m:t>Δ</m:t>
        </m:r>
        <m:r>
          <m:t>T</m:t>
        </m:r>
      </m:oMath>
      <w:r>
        <w:t xml:space="preserve"> </w:t>
      </w:r>
      <w:r>
        <w:t xml:space="preserve">er temperaturstigningen. En stigning på 1 °C er det samme som en stigning på 1 K, så</w:t>
      </w:r>
      <w:r>
        <w:t xml:space="preserve"> </w:t>
      </w:r>
      <m:oMath>
        <m:r>
          <m:rPr>
            <m:sty m:val="p"/>
          </m:rPr>
          <m:t>Δ</m:t>
        </m:r>
        <m:r>
          <m:t>T</m:t>
        </m:r>
      </m:oMath>
      <w:r>
        <w:t xml:space="preserve"> </w:t>
      </w:r>
      <w:r>
        <w:t xml:space="preserve">kan regnes direkte i °C.</w:t>
      </w:r>
    </w:p>
    <w:bookmarkEnd w:id="25"/>
    <w:bookmarkStart w:id="26" w:name="nyttevirkning"/>
    <w:p>
      <w:pPr>
        <w:pStyle w:val="Heading3"/>
      </w:pPr>
      <w:r>
        <w:t xml:space="preserve">Nyttevirkning</w:t>
      </w:r>
    </w:p>
    <w:p>
      <w:pPr>
        <w:pStyle w:val="FirstParagraph"/>
      </w:pPr>
      <w:r>
        <w:t xml:space="preserve">Forholdet mellem den nyttige energi og den tilførte energi:</w:t>
      </w:r>
    </w:p>
    <w:p>
      <w:pPr>
        <w:pStyle w:val="BodyText"/>
      </w:pPr>
      <m:oMathPara>
        <m:oMathParaPr>
          <m:jc m:val="center"/>
        </m:oMathParaPr>
        <m:oMath>
          <m:r>
            <m:t>η</m:t>
          </m:r>
          <m:r>
            <m:rPr>
              <m:sty m:val="p"/>
            </m:rPr>
            <m:t>=</m:t>
          </m:r>
          <m:f>
            <m:fPr>
              <m:type m:val="bar"/>
            </m:fPr>
            <m:num>
              <m:sSub>
                <m:e>
                  <m:r>
                    <m:t>Q</m:t>
                  </m:r>
                </m:e>
                <m:sub>
                  <m:r>
                    <m:rPr>
                      <m:nor/>
                      <m:sty m:val="p"/>
                    </m:rPr>
                    <m:t>vand</m:t>
                  </m:r>
                </m:sub>
              </m:sSub>
            </m:num>
            <m:den>
              <m:sSub>
                <m:e>
                  <m:r>
                    <m:t>Q</m:t>
                  </m:r>
                </m:e>
                <m:sub>
                  <m:r>
                    <m:rPr>
                      <m:nor/>
                      <m:sty m:val="p"/>
                    </m:rPr>
                    <m:t>ind</m:t>
                  </m:r>
                </m:sub>
              </m:sSub>
            </m:den>
          </m:f>
          <m:r>
            <m:rPr>
              <m:sty m:val="p"/>
            </m:rPr>
            <m:t>⋅</m:t>
          </m:r>
          <m:r>
            <m:t>100</m:t>
          </m:r>
          <m:r>
            <m:t> </m:t>
          </m:r>
          <m:r>
            <m:rPr>
              <m:sty m:val="p"/>
            </m:rPr>
            <m:t>%</m:t>
          </m:r>
        </m:oMath>
      </m:oMathPara>
    </w:p>
    <w:bookmarkEnd w:id="26"/>
    <w:bookmarkEnd w:id="27"/>
    <w:bookmarkStart w:id="34" w:name="hypotese"/>
    <w:p>
      <w:pPr>
        <w:pStyle w:val="Heading2"/>
      </w:pPr>
      <w:r>
        <w:t xml:space="preserve">Hypotese</w:t>
      </w:r>
    </w:p>
    <w:p>
      <w:pPr>
        <w:pStyle w:val="FirstParagraph"/>
      </w:pPr>
      <w:r>
        <w:t xml:space="preserve">Hvor stor tror I, solfangerens nyttevirkning er? Skriv et tal og en kort begrundelse, før I går i gang.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Applications/quarto/share/formats/docx/important.png" id="30"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BodyText"/>
            </w:pPr>
            <w:pPr>
              <w:spacing w:before="16" w:after="16"/>
            </w:pPr>
            <w:r>
              <w:t xml:space="preserve">Lampen bliver meget varm, og lyset er skarpt — kig ikke direkte ind i den, og rør ikke ved skærmen. Hæng lampen stabilt op i holderen,</w:t>
            </w:r>
            <w:r>
              <w:t xml:space="preserve"> </w:t>
            </w:r>
            <w:r>
              <w:rPr>
                <w:i/>
                <w:iCs/>
              </w:rPr>
              <w:t xml:space="preserve">før</w:t>
            </w:r>
            <w:r>
              <w:t xml:space="preserve"> </w:t>
            </w:r>
            <w:r>
              <w:t xml:space="preserve">den tændes. Pas på med vand nær stikkontakter og ledninger, og tør spild op med det samme.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Applications/quarto/share/formats/docx/note.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1"/>
              </w:numPr>
            </w:pPr>
            <w:r>
              <w:t xml:space="preserve">Solfanger med slanger og cirkulationspumpe</w:t>
            </w:r>
          </w:p>
          <w:p>
            <w:pPr>
              <w:pStyle w:val="Compact"/>
              <w:numPr>
                <w:ilvl w:val="0"/>
                <w:numId w:val="1001"/>
              </w:numPr>
            </w:pPr>
            <w:r>
              <w:t xml:space="preserve">Lagertank af plexiglas med låg og kobberspiral</w:t>
            </w:r>
          </w:p>
          <w:p>
            <w:pPr>
              <w:pStyle w:val="Compact"/>
              <w:numPr>
                <w:ilvl w:val="0"/>
                <w:numId w:val="1001"/>
              </w:numPr>
            </w:pPr>
            <w:r>
              <w:t xml:space="preserve">Kraftig lampe («solen») og stativfod med klemme</w:t>
            </w:r>
          </w:p>
          <w:p>
            <w:pPr>
              <w:pStyle w:val="Compact"/>
              <w:numPr>
                <w:ilvl w:val="0"/>
                <w:numId w:val="1001"/>
              </w:numPr>
            </w:pPr>
            <w:r>
              <w:t xml:space="preserve">Pyranometer</w:t>
            </w:r>
          </w:p>
          <w:p>
            <w:pPr>
              <w:pStyle w:val="Compact"/>
              <w:numPr>
                <w:ilvl w:val="0"/>
                <w:numId w:val="1001"/>
              </w:numPr>
            </w:pPr>
            <w:r>
              <w:t xml:space="preserve">Termometer (eller temperaturføler)</w:t>
            </w:r>
          </w:p>
          <w:p>
            <w:pPr>
              <w:pStyle w:val="Compact"/>
              <w:numPr>
                <w:ilvl w:val="0"/>
                <w:numId w:val="1001"/>
              </w:numPr>
            </w:pPr>
            <w:r>
              <w:t xml:space="preserve">Bægerglas, 500 mL, og vægt</w:t>
            </w:r>
          </w:p>
          <w:p>
            <w:pPr>
              <w:pStyle w:val="Compact"/>
              <w:numPr>
                <w:ilvl w:val="0"/>
                <w:numId w:val="1001"/>
              </w:numPr>
            </w:pPr>
            <w:r>
              <w:t xml:space="preserve">Målebånd eller lineal</w:t>
            </w:r>
          </w:p>
          <w:p>
            <w:pPr>
              <w:pStyle w:val="Compact"/>
              <w:numPr>
                <w:ilvl w:val="0"/>
                <w:numId w:val="1001"/>
              </w:numPr>
            </w:pPr>
            <w:r>
              <w:t xml:space="preserve">Stopur (fx på mobilen)</w:t>
            </w:r>
          </w:p>
          <w:p/>
        </w:tc>
      </w:tr>
    </w:tbl>
    <w:bookmarkEnd w:id="34"/>
    <w:bookmarkStart w:id="41" w:name="fremgangsmåde"/>
    <w:p>
      <w:pPr>
        <w:pStyle w:val="Heading2"/>
      </w:pPr>
      <w:r>
        <w:t xml:space="preserve">Fremgangsmåde</w:t>
      </w:r>
    </w:p>
    <w:bookmarkStart w:id="35" w:name="fyld-det-lukkede-kredsløb"/>
    <w:p>
      <w:pPr>
        <w:pStyle w:val="Heading3"/>
      </w:pPr>
      <w:r>
        <w:t xml:space="preserve">Fyld det lukkede kredsløb</w:t>
      </w:r>
    </w:p>
    <w:p>
      <w:pPr>
        <w:pStyle w:val="FirstParagraph"/>
      </w:pPr>
      <w:r>
        <w:t xml:space="preserve">Rørene i solfangeren, kobberspiralen og slangerne skal være fyldt med vand, der bliver i et lukket kredsløb under hele forsøget.</w:t>
      </w:r>
    </w:p>
    <w:p>
      <w:pPr>
        <w:pStyle w:val="Compact"/>
        <w:numPr>
          <w:ilvl w:val="0"/>
          <w:numId w:val="1002"/>
        </w:numPr>
      </w:pPr>
      <w:r>
        <w:t xml:space="preserve">Tag den slange af kobberspiralen, der går til den nederste studs på solfangeren.</w:t>
      </w:r>
    </w:p>
    <w:p>
      <w:pPr>
        <w:pStyle w:val="Compact"/>
        <w:numPr>
          <w:ilvl w:val="0"/>
          <w:numId w:val="1002"/>
        </w:numPr>
      </w:pPr>
      <w:r>
        <w:t xml:space="preserve">Hæld vand i et bægerglas, og sæt den løse slangeende ned under vandoverfladen.</w:t>
      </w:r>
    </w:p>
    <w:p>
      <w:pPr>
        <w:pStyle w:val="Compact"/>
        <w:numPr>
          <w:ilvl w:val="0"/>
          <w:numId w:val="1002"/>
        </w:numPr>
      </w:pPr>
      <w:r>
        <w:t xml:space="preserve">Start pumpen ved at sætte stikket i stikkontakten (der er ingen knap). Vandet pumpes op i slangen og videre gennem solfangeren og kobberspiralen.</w:t>
      </w:r>
    </w:p>
    <w:p>
      <w:pPr>
        <w:pStyle w:val="Compact"/>
        <w:numPr>
          <w:ilvl w:val="0"/>
          <w:numId w:val="1002"/>
        </w:numPr>
      </w:pPr>
      <w:r>
        <w:t xml:space="preserve">Når der kommer en vandstråle ud af kobberspiralen, er systemet fyldt. Sluk pumpen, og sæt slangen på spiralen igen.</w:t>
      </w:r>
    </w:p>
    <w:bookmarkEnd w:id="35"/>
    <w:bookmarkStart w:id="36" w:name="klargør-tanken-og-mål-lyset"/>
    <w:p>
      <w:pPr>
        <w:pStyle w:val="Heading3"/>
      </w:pPr>
      <w:r>
        <w:t xml:space="preserve">Klargør tanken og mål lyset</w:t>
      </w:r>
    </w:p>
    <w:p>
      <w:pPr>
        <w:pStyle w:val="Compact"/>
        <w:numPr>
          <w:ilvl w:val="0"/>
          <w:numId w:val="1003"/>
        </w:numPr>
      </w:pPr>
      <w:r>
        <w:t xml:space="preserve">Sæt bægerglasset på vægten, tryk «tara», og afvej 600 g koldt vand. Hæld vandet forsigtigt over i lagertanken.</w:t>
      </w:r>
    </w:p>
    <w:p>
      <w:pPr>
        <w:pStyle w:val="Compact"/>
        <w:numPr>
          <w:ilvl w:val="0"/>
          <w:numId w:val="1003"/>
        </w:numPr>
      </w:pPr>
      <w:r>
        <w:t xml:space="preserve">Sæt låget med kobberspiralen på tanken, og stik termometeret ned gennem det midterste hul.</w:t>
      </w:r>
    </w:p>
    <w:p>
      <w:pPr>
        <w:pStyle w:val="Compact"/>
        <w:numPr>
          <w:ilvl w:val="0"/>
          <w:numId w:val="1003"/>
        </w:numPr>
      </w:pPr>
      <w:r>
        <w:t xml:space="preserve">Hæng lampen op i holderen, så den er 60 cm fra solfangeren og lyser vinkelret på absorberen.</w:t>
      </w:r>
    </w:p>
    <w:p>
      <w:pPr>
        <w:pStyle w:val="Compact"/>
        <w:numPr>
          <w:ilvl w:val="0"/>
          <w:numId w:val="1003"/>
        </w:numPr>
      </w:pPr>
      <w:r>
        <w:t xml:space="preserve">Tænd lampen kort, og mål bestrålingsstyrken med pyranometeret på fem steder på absorberen: midten og de fire hjørner. Skriv tallene i</w:t>
      </w:r>
      <w:r>
        <w:t xml:space="preserve"> </w:t>
      </w:r>
      <w:hyperlink w:anchor="tbl-1">
        <w:r>
          <w:rPr>
            <w:rStyle w:val="Hyperlink"/>
          </w:rPr>
          <w:t xml:space="preserve">Tabel 1</w:t>
        </w:r>
      </w:hyperlink>
      <w:r>
        <w:t xml:space="preserve">, og sluk lampen igen.</w:t>
      </w:r>
    </w:p>
    <w:bookmarkEnd w:id="36"/>
    <w:bookmarkStart w:id="40" w:name="selve-forsøget"/>
    <w:p>
      <w:pPr>
        <w:pStyle w:val="Heading3"/>
      </w:pPr>
      <w:r>
        <w:t xml:space="preserve">Selve forsøget</w:t>
      </w:r>
    </w:p>
    <w:p>
      <w:pPr>
        <w:pStyle w:val="Compact"/>
        <w:numPr>
          <w:ilvl w:val="0"/>
          <w:numId w:val="1004"/>
        </w:numPr>
      </w:pPr>
      <w:r>
        <w:t xml:space="preserve">Tænd pumpen, og lad vandet cirkulere et minut. Rør forsigtigt rundt i tanken med termometeret, og aflæs temperaturen. Skriv den i</w:t>
      </w:r>
      <w:r>
        <w:t xml:space="preserve"> </w:t>
      </w:r>
      <w:hyperlink w:anchor="tbl-2">
        <w:r>
          <w:rPr>
            <w:rStyle w:val="Hyperlink"/>
          </w:rPr>
          <w:t xml:space="preserve">Tabel 2</w:t>
        </w:r>
      </w:hyperlink>
      <w:r>
        <w:t xml:space="preserve"> </w:t>
      </w:r>
      <w:r>
        <w:t xml:space="preserve">ud for 0 s.</w:t>
      </w:r>
    </w:p>
    <w:p>
      <w:pPr>
        <w:pStyle w:val="Compact"/>
        <w:numPr>
          <w:ilvl w:val="0"/>
          <w:numId w:val="1004"/>
        </w:numPr>
      </w:pPr>
      <w:r>
        <w:t xml:space="preserve">Tænd lampen, og start stopuret samtidig.</w:t>
      </w:r>
    </w:p>
    <w:p>
      <w:pPr>
        <w:pStyle w:val="Compact"/>
        <w:numPr>
          <w:ilvl w:val="0"/>
          <w:numId w:val="1004"/>
        </w:numPr>
      </w:pPr>
      <w:r>
        <w:t xml:space="preserve">Aflæs temperaturen i tanken hvert 5. minut i 30 minutter. Rør forsigtigt rundt med termometeret ca. 1 minut før hver aflæsning.</w:t>
      </w:r>
    </w:p>
    <w:p>
      <w:pPr>
        <w:pStyle w:val="Compact"/>
        <w:numPr>
          <w:ilvl w:val="0"/>
          <w:numId w:val="1004"/>
        </w:numPr>
      </w:pPr>
      <w:r>
        <w:t xml:space="preserve">Sluk lampen og pumpen efter 1800 s. Rør ikke ved lampen, før den er kølet af.</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38" name="Picture"/>
                  <a:graphic>
                    <a:graphicData uri="http://schemas.openxmlformats.org/drawingml/2006/picture">
                      <pic:pic>
                        <pic:nvPicPr>
                          <pic:cNvPr descr="/Applications/quarto/share/formats/docx/tip.png" id="39" name="Picture"/>
                          <pic:cNvPicPr>
                            <a:picLocks noChangeArrowheads="1" noChangeAspect="1"/>
                          </pic:cNvPicPr>
                        </pic:nvPicPr>
                        <pic:blipFill>
                          <a:blip r:embed="rId3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Lad lampen, afstanden og vinklen være helt uændret under hele forsøget. Hvis I skubber til stativet, ændrer I bestrålingsstyrken — og så passer målingen i</w:t>
            </w:r>
            <w:r>
              <w:t xml:space="preserve"> </w:t>
            </w:r>
            <w:hyperlink w:anchor="tbl-1">
              <w:r>
                <w:rPr>
                  <w:rStyle w:val="Hyperlink"/>
                </w:rPr>
                <w:t xml:space="preserve">Tabel 1</w:t>
              </w:r>
            </w:hyperlink>
            <w:r>
              <w:t xml:space="preserve"> </w:t>
            </w:r>
            <w:r>
              <w:t xml:space="preserve">ikke længere.</w:t>
            </w:r>
          </w:p>
          <w:p/>
        </w:tc>
      </w:tr>
    </w:tbl>
    <w:bookmarkEnd w:id="40"/>
    <w:bookmarkEnd w:id="41"/>
    <w:bookmarkStart w:id="44"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42" w:name="tbl-1"/>
          <w:p>
            <w:pPr>
              <w:jc w:val="center"/>
            </w:pPr>
            <w:pPr>
              <w:jc w:val="left"/>
              <w:spacing w:before="200"/>
              <w:pStyle w:val="ImageCaption"/>
            </w:pPr>
            <w:r>
              <w:t xml:space="preserve">Tabel 1: Bestrålingsstyrken på absorberen, målt med pyranometer.</w:t>
            </w:r>
          </w:p>
          <w:tbl>
            <w:tblPr>
              <w:tblStyle w:val="Table"/>
              <w:tblW w:type="pct" w:w="5000"/>
              <w:tblLayout w:type="fixed"/>
              <w:tblLook w:firstRow="1" w:lastRow="0" w:firstColumn="0" w:lastColumn="0" w:noHBand="0" w:noVBand="0" w:val="0020"/>
            </w:tblPr>
            <w:tblGrid>
              <w:gridCol w:w="1667"/>
              <w:gridCol w:w="1250"/>
              <w:gridCol w:w="1250"/>
              <w:gridCol w:w="1250"/>
              <w:gridCol w:w="1250"/>
              <w:gridCol w:w="1250"/>
            </w:tblGrid>
            <w:tr>
              <w:trPr>
                <w:cantSplit/>
                <w:tblHeader w:val="on"/>
              </w:trPr>
              <w:tc>
                <w:tcPr/>
                <w:p>
                  <w:pPr>
                    <w:pStyle w:val="Compact"/>
                    <w:keepNext/>
                    <w:jc w:val="left"/>
                    <w:jc w:val="center"/>
                  </w:pPr>
                  <w:r>
                    <w:t xml:space="preserve">Målested</w:t>
                  </w:r>
                </w:p>
              </w:tc>
              <w:tc>
                <w:tcPr/>
                <w:p>
                  <w:pPr>
                    <w:pStyle w:val="Compact"/>
                    <w:keepNext/>
                    <w:jc w:val="center"/>
                    <w:jc w:val="center"/>
                  </w:pPr>
                  <w:r>
                    <w:t xml:space="preserve">Midte</w:t>
                  </w:r>
                </w:p>
              </w:tc>
              <w:tc>
                <w:tcPr/>
                <w:p>
                  <w:pPr>
                    <w:pStyle w:val="Compact"/>
                    <w:keepNext/>
                    <w:jc w:val="center"/>
                    <w:jc w:val="center"/>
                  </w:pPr>
                  <w:r>
                    <w:t xml:space="preserve">Øverst venstre</w:t>
                  </w:r>
                </w:p>
              </w:tc>
              <w:tc>
                <w:tcPr/>
                <w:p>
                  <w:pPr>
                    <w:pStyle w:val="Compact"/>
                    <w:keepNext/>
                    <w:jc w:val="center"/>
                    <w:jc w:val="center"/>
                  </w:pPr>
                  <w:r>
                    <w:t xml:space="preserve">Øverst højre</w:t>
                  </w:r>
                </w:p>
              </w:tc>
              <w:tc>
                <w:tcPr/>
                <w:p>
                  <w:pPr>
                    <w:pStyle w:val="Compact"/>
                    <w:keepNext/>
                    <w:jc w:val="center"/>
                    <w:jc w:val="center"/>
                  </w:pPr>
                  <w:r>
                    <w:t xml:space="preserve">Nederst venstre</w:t>
                  </w:r>
                </w:p>
              </w:tc>
              <w:tc>
                <w:tcPr/>
                <w:p>
                  <w:pPr>
                    <w:pStyle w:val="Compact"/>
                    <w:keepNext/>
                    <w:jc w:val="center"/>
                    <w:jc w:val="center"/>
                  </w:pPr>
                  <w:r>
                    <w:t xml:space="preserve">Nederst højre</w:t>
                  </w:r>
                </w:p>
              </w:tc>
            </w:tr>
            <w:tr>
              <w:trPr>
                <w:cantSplit/>
              </w:trPr>
              <w:tc>
                <w:tcPr/>
                <w:p>
                  <w:pPr>
                    <w:pStyle w:val="Compact"/>
                    <w:jc w:val="left"/>
                    <w:jc w:val="center"/>
                  </w:pPr>
                  <m:oMath>
                    <m:r>
                      <m:t>φ</m:t>
                    </m:r>
                  </m:oMath>
                  <w:r>
                    <w:t xml:space="preserve"> </w:t>
                  </w:r>
                  <w:r>
                    <w:t xml:space="preserve">(W/m²)</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2"/>
          <w:p/>
        </w:tc>
      </w:tr>
    </w:tbl>
    <w:p>
      <w:pPr>
        <w:pStyle w:val="BodyText"/>
      </w:pPr>
      <w:r>
        <w:t xml:space="preserve">Absorberens areal:</w:t>
      </w:r>
      <w:r>
        <w:t xml:space="preserve"> </w:t>
      </w:r>
      <m:oMath>
        <m:r>
          <m:t>A</m:t>
        </m:r>
      </m:oMath>
      <w:r>
        <w:t xml:space="preserve"> </w:t>
      </w:r>
      <w:r>
        <w:t xml:space="preserve">= 0,0756 m²      Vandets masse i tanken:</w:t>
      </w:r>
      <w:r>
        <w:t xml:space="preserve"> </w:t>
      </w:r>
      <m:oMath>
        <m:sSub>
          <m:e>
            <m:r>
              <m:t>m</m:t>
            </m:r>
          </m:e>
          <m:sub>
            <m:r>
              <m:rPr>
                <m:nor/>
                <m:sty m:val="p"/>
              </m:rPr>
              <m:t>vand</m:t>
            </m:r>
          </m:sub>
        </m:sSub>
        <m:r>
          <m:rPr>
            <m:sty m:val="p"/>
          </m:rPr>
          <m:t>=</m:t>
        </m:r>
      </m:oMath>
      <w:r>
        <w:t xml:space="preserve"> </w:t>
      </w:r>
      <w:r>
        <w:t xml:space="preserve">________ kg      Afstand lampe–solfanger: ________ cm</w:t>
      </w:r>
    </w:p>
    <w:tbl>
      <w:tblPr>
        <w:tblStyle w:val="Table"/>
        <w:tblW w:type="pct" w:w="5000"/>
        <w:tblLayout w:type="fixed"/>
        <w:tblLook w:firstRow="0" w:lastRow="0" w:firstColumn="0" w:lastColumn="0" w:noHBand="0" w:noVBand="0" w:val="0000"/>
      </w:tblPr>
      <w:tblGrid>
        <w:gridCol w:w="7920"/>
      </w:tblGrid>
      <w:tr>
        <w:tc>
          <w:tcPr/>
          <w:bookmarkStart w:id="43" w:name="tbl-2"/>
          <w:p>
            <w:pPr>
              <w:jc w:val="center"/>
            </w:pPr>
            <w:pPr>
              <w:jc w:val="left"/>
              <w:spacing w:before="200"/>
              <w:pStyle w:val="ImageCaption"/>
            </w:pPr>
            <w:r>
              <w:t xml:space="preserve">Tabel 2: Temperaturen af vandet i lagertanken.</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cantSplit/>
                <w:tblHeader w:val="on"/>
              </w:trPr>
              <w:tc>
                <w:tcPr/>
                <w:p>
                  <w:pPr>
                    <w:pStyle w:val="Compact"/>
                    <w:keepNext/>
                    <w:jc w:val="left"/>
                    <w:jc w:val="center"/>
                  </w:pPr>
                  <w:r>
                    <w:t xml:space="preserve">Tid (s)</w:t>
                  </w:r>
                </w:p>
              </w:tc>
              <w:tc>
                <w:tcPr/>
                <w:p>
                  <w:pPr>
                    <w:pStyle w:val="Compact"/>
                    <w:keepNext/>
                    <w:jc w:val="center"/>
                    <w:jc w:val="center"/>
                  </w:pPr>
                  <w:r>
                    <w:t xml:space="preserve">0</w:t>
                  </w:r>
                </w:p>
              </w:tc>
              <w:tc>
                <w:tcPr/>
                <w:p>
                  <w:pPr>
                    <w:pStyle w:val="Compact"/>
                    <w:keepNext/>
                    <w:jc w:val="center"/>
                    <w:jc w:val="center"/>
                  </w:pPr>
                  <w:r>
                    <w:t xml:space="preserve">300</w:t>
                  </w:r>
                </w:p>
              </w:tc>
              <w:tc>
                <w:tcPr/>
                <w:p>
                  <w:pPr>
                    <w:pStyle w:val="Compact"/>
                    <w:keepNext/>
                    <w:jc w:val="center"/>
                    <w:jc w:val="center"/>
                  </w:pPr>
                  <w:r>
                    <w:t xml:space="preserve">600</w:t>
                  </w:r>
                </w:p>
              </w:tc>
              <w:tc>
                <w:tcPr/>
                <w:p>
                  <w:pPr>
                    <w:pStyle w:val="Compact"/>
                    <w:keepNext/>
                    <w:jc w:val="center"/>
                    <w:jc w:val="center"/>
                  </w:pPr>
                  <w:r>
                    <w:t xml:space="preserve">900</w:t>
                  </w:r>
                </w:p>
              </w:tc>
              <w:tc>
                <w:tcPr/>
                <w:p>
                  <w:pPr>
                    <w:pStyle w:val="Compact"/>
                    <w:keepNext/>
                    <w:jc w:val="center"/>
                    <w:jc w:val="center"/>
                  </w:pPr>
                  <w:r>
                    <w:t xml:space="preserve">1200</w:t>
                  </w:r>
                </w:p>
              </w:tc>
              <w:tc>
                <w:tcPr/>
                <w:p>
                  <w:pPr>
                    <w:pStyle w:val="Compact"/>
                    <w:keepNext/>
                    <w:jc w:val="center"/>
                    <w:jc w:val="center"/>
                  </w:pPr>
                  <w:r>
                    <w:t xml:space="preserve">1500</w:t>
                  </w:r>
                </w:p>
              </w:tc>
              <w:tc>
                <w:tcPr/>
                <w:p>
                  <w:pPr>
                    <w:pStyle w:val="Compact"/>
                    <w:keepNext/>
                    <w:jc w:val="center"/>
                    <w:jc w:val="center"/>
                  </w:pPr>
                  <w:r>
                    <w:t xml:space="preserve">1800</w:t>
                  </w:r>
                </w:p>
              </w:tc>
            </w:tr>
            <w:tr>
              <w:trPr>
                <w:cantSplit/>
              </w:trPr>
              <w:tc>
                <w:tcPr/>
                <w:p>
                  <w:pPr>
                    <w:pStyle w:val="Compact"/>
                    <w:jc w:val="left"/>
                    <w:jc w:val="center"/>
                  </w:pPr>
                  <w:r>
                    <w:t xml:space="preserve">Temperatur (°C)</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3"/>
          <w:p/>
        </w:tc>
      </w:tr>
    </w:tbl>
    <w:bookmarkEnd w:id="44"/>
    <w:bookmarkStart w:id="46" w:name="databehandling"/>
    <w:p>
      <w:pPr>
        <w:pStyle w:val="Heading2"/>
      </w:pPr>
      <w:r>
        <w:t xml:space="preserve">Databehandling</w:t>
      </w:r>
    </w:p>
    <w:p>
      <w:pPr>
        <w:numPr>
          <w:ilvl w:val="0"/>
          <w:numId w:val="1005"/>
        </w:numPr>
      </w:pPr>
      <w:r>
        <w:t xml:space="preserve">Beregn gennemsnittet af de fem målinger af bestrålingsstyrken i</w:t>
      </w:r>
      <w:r>
        <w:t xml:space="preserve"> </w:t>
      </w:r>
      <w:hyperlink w:anchor="tbl-1">
        <w:r>
          <w:rPr>
            <w:rStyle w:val="Hyperlink"/>
          </w:rPr>
          <w:t xml:space="preserve">Tabel 1</w:t>
        </w:r>
      </w:hyperlink>
      <w:r>
        <w:t xml:space="preserve">:</w:t>
      </w:r>
    </w:p>
    <w:p>
      <w:pPr>
        <w:pStyle w:val="BodyText"/>
      </w:pPr>
      <m:oMathPara>
        <m:oMathParaPr>
          <m:jc m:val="center"/>
        </m:oMathParaPr>
        <m:oMath>
          <m:acc>
            <m:accPr>
              <m:chr m:val="‾"/>
            </m:accPr>
            <m:e>
              <m:r>
                <m:t>φ</m:t>
              </m:r>
            </m:e>
          </m:acc>
          <m:r>
            <m:rPr>
              <m:sty m:val="p"/>
            </m:rPr>
            <m:t>=</m:t>
          </m:r>
          <m:f>
            <m:fPr>
              <m:type m:val="bar"/>
            </m:fPr>
            <m:num>
              <m:sSub>
                <m:e>
                  <m:r>
                    <m:t>φ</m:t>
                  </m:r>
                </m:e>
                <m:sub>
                  <m:r>
                    <m:t>1</m:t>
                  </m:r>
                </m:sub>
              </m:sSub>
              <m:r>
                <m:rPr>
                  <m:sty m:val="p"/>
                </m:rPr>
                <m:t>+</m:t>
              </m:r>
              <m:sSub>
                <m:e>
                  <m:r>
                    <m:t>φ</m:t>
                  </m:r>
                </m:e>
                <m:sub>
                  <m:r>
                    <m:t>2</m:t>
                  </m:r>
                </m:sub>
              </m:sSub>
              <m:r>
                <m:rPr>
                  <m:sty m:val="p"/>
                </m:rPr>
                <m:t>+</m:t>
              </m:r>
              <m:sSub>
                <m:e>
                  <m:r>
                    <m:t>φ</m:t>
                  </m:r>
                </m:e>
                <m:sub>
                  <m:r>
                    <m:t>3</m:t>
                  </m:r>
                </m:sub>
              </m:sSub>
              <m:r>
                <m:rPr>
                  <m:sty m:val="p"/>
                </m:rPr>
                <m:t>+</m:t>
              </m:r>
              <m:sSub>
                <m:e>
                  <m:r>
                    <m:t>φ</m:t>
                  </m:r>
                </m:e>
                <m:sub>
                  <m:r>
                    <m:t>4</m:t>
                  </m:r>
                </m:sub>
              </m:sSub>
              <m:r>
                <m:rPr>
                  <m:sty m:val="p"/>
                </m:rPr>
                <m:t>+</m:t>
              </m:r>
              <m:sSub>
                <m:e>
                  <m:r>
                    <m:t>φ</m:t>
                  </m:r>
                </m:e>
                <m:sub>
                  <m:r>
                    <m:t>5</m:t>
                  </m:r>
                </m:sub>
              </m:sSub>
            </m:num>
            <m:den>
              <m:r>
                <m:t>5</m:t>
              </m:r>
            </m:den>
          </m:f>
        </m:oMath>
      </m:oMathPara>
    </w:p>
    <w:p>
      <w:pPr>
        <w:numPr>
          <w:ilvl w:val="0"/>
          <w:numId w:val="1005"/>
        </w:numPr>
      </w:pPr>
      <w:r>
        <w:t xml:space="preserve">Lav et (x,y)-punktdiagram i Excel eller Google Sheets med tiden i s på x-aksen og temperaturen i °C på y-aksen. Navngiv akserne, og skriv enhederne på. Er kurven en ret linje, eller flader den ud?</w:t>
      </w:r>
    </w:p>
    <w:p>
      <w:pPr>
        <w:numPr>
          <w:ilvl w:val="0"/>
          <w:numId w:val="1005"/>
        </w:numPr>
      </w:pPr>
      <w:r>
        <w:t xml:space="preserve">Beregn den energi, der har ramt absorberen i forsøgets 1800 s. Husk at omregne fra J til kJ:</w:t>
      </w:r>
    </w:p>
    <w:p>
      <w:pPr>
        <w:pStyle w:val="BodyText"/>
      </w:pPr>
      <m:oMathPara>
        <m:oMathParaPr>
          <m:jc m:val="center"/>
        </m:oMathParaPr>
        <m:oMath>
          <m:sSub>
            <m:e>
              <m:r>
                <m:t>Q</m:t>
              </m:r>
            </m:e>
            <m:sub>
              <m:r>
                <m:rPr>
                  <m:nor/>
                  <m:sty m:val="p"/>
                </m:rPr>
                <m:t>ind</m:t>
              </m:r>
            </m:sub>
          </m:sSub>
          <m:r>
            <m:rPr>
              <m:sty m:val="p"/>
            </m:rPr>
            <m:t>=</m:t>
          </m:r>
          <m:acc>
            <m:accPr>
              <m:chr m:val="‾"/>
            </m:accPr>
            <m:e>
              <m:r>
                <m:t>φ</m:t>
              </m:r>
            </m:e>
          </m:acc>
          <m:r>
            <m:rPr>
              <m:sty m:val="p"/>
            </m:rPr>
            <m:t>⋅</m:t>
          </m:r>
          <m:r>
            <m:t>A</m:t>
          </m:r>
          <m:r>
            <m:rPr>
              <m:sty m:val="p"/>
            </m:rPr>
            <m:t>⋅</m:t>
          </m:r>
          <m:r>
            <m:t>t</m:t>
          </m:r>
        </m:oMath>
      </m:oMathPara>
    </w:p>
    <w:p>
      <w:pPr>
        <w:numPr>
          <w:ilvl w:val="0"/>
          <w:numId w:val="1005"/>
        </w:numPr>
      </w:pPr>
      <w:r>
        <w:t xml:space="preserve">Beregn temperaturstigningen</w:t>
      </w:r>
      <w:r>
        <w:t xml:space="preserve"> </w:t>
      </w:r>
      <m:oMath>
        <m:r>
          <m:rPr>
            <m:sty m:val="p"/>
          </m:rPr>
          <m:t>Δ</m:t>
        </m:r>
        <m:r>
          <m:t>T</m:t>
        </m:r>
        <m:r>
          <m:rPr>
            <m:sty m:val="p"/>
          </m:rPr>
          <m:t>=</m:t>
        </m:r>
        <m:sSub>
          <m:e>
            <m:r>
              <m:t>T</m:t>
            </m:r>
          </m:e>
          <m:sub>
            <m:r>
              <m:t>1800</m:t>
            </m:r>
          </m:sub>
        </m:sSub>
        <m:r>
          <m:rPr>
            <m:sty m:val="p"/>
          </m:rPr>
          <m:t>−</m:t>
        </m:r>
        <m:sSub>
          <m:e>
            <m:r>
              <m:t>T</m:t>
            </m:r>
          </m:e>
          <m:sub>
            <m:r>
              <m:t>0</m:t>
            </m:r>
          </m:sub>
        </m:sSub>
      </m:oMath>
      <w:r>
        <w:t xml:space="preserve"> </w:t>
      </w:r>
      <w:r>
        <w:t xml:space="preserve">og den energi, vandet i tanken har modtaget:</w:t>
      </w:r>
    </w:p>
    <w:p>
      <w:pPr>
        <w:pStyle w:val="BodyText"/>
      </w:pPr>
      <m:oMathPara>
        <m:oMathParaPr>
          <m:jc m:val="center"/>
        </m:oMathParaPr>
        <m:oMath>
          <m:sSub>
            <m:e>
              <m:r>
                <m:t>Q</m:t>
              </m:r>
            </m:e>
            <m:sub>
              <m:r>
                <m:rPr>
                  <m:nor/>
                  <m:sty m:val="p"/>
                </m:rPr>
                <m:t>vand</m:t>
              </m:r>
            </m:sub>
          </m:sSub>
          <m:r>
            <m:rPr>
              <m:sty m:val="p"/>
            </m:rPr>
            <m:t>=</m:t>
          </m:r>
          <m:sSub>
            <m:e>
              <m:r>
                <m:t>c</m:t>
              </m:r>
            </m:e>
            <m:sub>
              <m:r>
                <m:rPr>
                  <m:nor/>
                  <m:sty m:val="p"/>
                </m:rPr>
                <m:t>vand</m:t>
              </m:r>
            </m:sub>
          </m:sSub>
          <m:r>
            <m:rPr>
              <m:sty m:val="p"/>
            </m:rPr>
            <m:t>⋅</m:t>
          </m:r>
          <m:sSub>
            <m:e>
              <m:r>
                <m:t>m</m:t>
              </m:r>
            </m:e>
            <m:sub>
              <m:r>
                <m:rPr>
                  <m:nor/>
                  <m:sty m:val="p"/>
                </m:rPr>
                <m:t>vand</m:t>
              </m:r>
            </m:sub>
          </m:sSub>
          <m:r>
            <m:rPr>
              <m:sty m:val="p"/>
            </m:rPr>
            <m:t>⋅</m:t>
          </m:r>
          <m:r>
            <m:rPr>
              <m:sty m:val="p"/>
            </m:rPr>
            <m:t>Δ</m:t>
          </m:r>
          <m:r>
            <m:t>T</m:t>
          </m:r>
        </m:oMath>
      </m:oMathPara>
    </w:p>
    <w:p>
      <w:pPr>
        <w:numPr>
          <w:ilvl w:val="0"/>
          <w:numId w:val="1005"/>
        </w:numPr>
      </w:pPr>
      <w:r>
        <w:t xml:space="preserve">Beregn nyttevirkningen</w:t>
      </w:r>
      <w:r>
        <w:t xml:space="preserve"> </w:t>
      </w:r>
      <m:oMath>
        <m:r>
          <m:t>η</m:t>
        </m:r>
      </m:oMath>
      <w:r>
        <w:t xml:space="preserve"> </w:t>
      </w:r>
      <w:r>
        <w:t xml:space="preserve">i procent, og sammenlign med jeres hypotese.</w:t>
      </w:r>
    </w:p>
    <w:p>
      <w:pPr>
        <w:numPr>
          <w:ilvl w:val="0"/>
          <w:numId w:val="1005"/>
        </w:numPr>
      </w:pPr>
      <w:r>
        <w:t xml:space="preserve">Beregn den gennemsnitlige effekt, solfangeren har leveret til vandet, og sammenlign med den effekt, der ramte absorberen:</w:t>
      </w:r>
    </w:p>
    <w:p>
      <w:pPr>
        <w:pStyle w:val="BodyText"/>
      </w:pPr>
      <m:oMathPara>
        <m:oMathParaPr>
          <m:jc m:val="center"/>
        </m:oMathParaPr>
        <m:oMath>
          <m:sSub>
            <m:e>
              <m:r>
                <m:t>P</m:t>
              </m:r>
            </m:e>
            <m:sub>
              <m:r>
                <m:rPr>
                  <m:nor/>
                  <m:sty m:val="p"/>
                </m:rPr>
                <m:t>vand</m:t>
              </m:r>
            </m:sub>
          </m:sSub>
          <m:r>
            <m:rPr>
              <m:sty m:val="p"/>
            </m:rPr>
            <m:t>=</m:t>
          </m:r>
          <m:f>
            <m:fPr>
              <m:type m:val="bar"/>
            </m:fPr>
            <m:num>
              <m:sSub>
                <m:e>
                  <m:r>
                    <m:t>Q</m:t>
                  </m:r>
                </m:e>
                <m:sub>
                  <m:r>
                    <m:rPr>
                      <m:nor/>
                      <m:sty m:val="p"/>
                    </m:rPr>
                    <m:t>vand</m:t>
                  </m:r>
                </m:sub>
              </m:sSub>
            </m:num>
            <m:den>
              <m:r>
                <m:t>t</m:t>
              </m:r>
            </m:den>
          </m:f>
          <m:r>
            <m:t>  </m:t>
          </m:r>
          <m:sSub>
            <m:e>
              <m:r>
                <m:t>P</m:t>
              </m:r>
            </m:e>
            <m:sub>
              <m:r>
                <m:rPr>
                  <m:nor/>
                  <m:sty m:val="p"/>
                </m:rPr>
                <m:t>ind</m:t>
              </m:r>
            </m:sub>
          </m:sSub>
          <m:r>
            <m:rPr>
              <m:sty m:val="p"/>
            </m:rPr>
            <m:t>=</m:t>
          </m:r>
          <m:acc>
            <m:accPr>
              <m:chr m:val="‾"/>
            </m:accPr>
            <m:e>
              <m:r>
                <m:t>φ</m:t>
              </m:r>
            </m:e>
          </m:acc>
          <m:r>
            <m:rPr>
              <m:sty m:val="p"/>
            </m:rPr>
            <m:t>⋅</m:t>
          </m:r>
          <m:r>
            <m:t>A</m:t>
          </m:r>
        </m:oMath>
      </m:oMathPara>
    </w:p>
    <w:p>
      <w:pPr>
        <w:numPr>
          <w:ilvl w:val="0"/>
          <w:numId w:val="1005"/>
        </w:numPr>
      </w:pPr>
      <w:r>
        <w:t xml:space="preserve">Beregn til sidst nyttevirkningen for de første 10 minutter (0–600 s) og for de sidste 10 minutter (1200–1800 s) hver for sig. Bliver solfangeren bedre eller dårligere, efterhånden som vandet bliver varmt?</w:t>
      </w:r>
    </w:p>
    <w:tbl>
      <w:tblPr>
        <w:tblStyle w:val="Table"/>
        <w:tblW w:type="pct" w:w="5000"/>
        <w:tblLayout w:type="fixed"/>
        <w:tblLook w:firstRow="0" w:lastRow="0" w:firstColumn="0" w:lastColumn="0" w:noHBand="0" w:noVBand="0" w:val="0000"/>
      </w:tblPr>
      <w:tblGrid>
        <w:gridCol w:w="7920"/>
      </w:tblGrid>
      <w:tr>
        <w:tc>
          <w:tcPr/>
          <w:bookmarkStart w:id="45" w:name="tbl-3"/>
          <w:p>
            <w:pPr>
              <w:jc w:val="center"/>
            </w:pPr>
            <w:pPr>
              <w:jc w:val="left"/>
              <w:spacing w:before="200"/>
              <w:pStyle w:val="ImageCaption"/>
            </w:pPr>
            <w:r>
              <w:t xml:space="preserve">Tabel 3: Beregnede værdier.</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jc w:val="left"/>
                    <w:jc w:val="center"/>
                  </w:pPr>
                  <w:r>
                    <w:t xml:space="preserve">Størrelse</w:t>
                  </w:r>
                </w:p>
              </w:tc>
              <w:tc>
                <w:tcPr/>
                <w:p>
                  <w:pPr>
                    <w:pStyle w:val="Compact"/>
                    <w:keepNext/>
                    <w:jc w:val="center"/>
                    <w:jc w:val="center"/>
                  </w:pPr>
                  <w:r>
                    <w:t xml:space="preserve">Værdi</w:t>
                  </w:r>
                </w:p>
              </w:tc>
              <w:tc>
                <w:tcPr/>
                <w:p>
                  <w:pPr>
                    <w:pStyle w:val="Compact"/>
                    <w:keepNext/>
                    <w:jc w:val="center"/>
                    <w:jc w:val="center"/>
                  </w:pPr>
                  <w:r>
                    <w:t xml:space="preserve">Enhed</w:t>
                  </w:r>
                </w:p>
              </w:tc>
            </w:tr>
            <w:tr>
              <w:trPr>
                <w:cantSplit/>
              </w:trPr>
              <w:tc>
                <w:tcPr/>
                <w:p>
                  <w:pPr>
                    <w:pStyle w:val="Compact"/>
                    <w:keepNext/>
                    <w:jc w:val="left"/>
                    <w:jc w:val="center"/>
                  </w:pPr>
                  <w:r>
                    <w:t xml:space="preserve">Gennemsnitlig bestrålingsstyrke</w:t>
                  </w:r>
                  <w:r>
                    <w:t xml:space="preserve"> </w:t>
                  </w:r>
                  <m:oMath>
                    <m:acc>
                      <m:accPr>
                        <m:chr m:val="‾"/>
                      </m:accPr>
                      <m:e>
                        <m:r>
                          <m:t>φ</m:t>
                        </m:r>
                      </m:e>
                    </m:acc>
                  </m:oMath>
                </w:p>
              </w:tc>
              <w:tc>
                <w:tcPr/>
                <w:p>
                  <w:pPr>
                    <w:pStyle w:val="Compact"/>
                    <w:keepNext/>
                  </w:pPr>
                </w:p>
              </w:tc>
              <w:tc>
                <w:tcPr/>
                <w:p>
                  <w:pPr>
                    <w:pStyle w:val="Compact"/>
                    <w:keepNext/>
                    <w:jc w:val="center"/>
                    <w:jc w:val="center"/>
                  </w:pPr>
                  <w:r>
                    <w:t xml:space="preserve">W/m²</w:t>
                  </w:r>
                </w:p>
              </w:tc>
            </w:tr>
            <w:tr>
              <w:trPr>
                <w:cantSplit/>
              </w:trPr>
              <w:tc>
                <w:tcPr/>
                <w:p>
                  <w:pPr>
                    <w:pStyle w:val="Compact"/>
                    <w:keepNext/>
                    <w:jc w:val="left"/>
                    <w:jc w:val="center"/>
                  </w:pPr>
                  <w:r>
                    <w:t xml:space="preserve">Energi ind</w:t>
                  </w:r>
                  <w:r>
                    <w:t xml:space="preserve"> </w:t>
                  </w:r>
                  <m:oMath>
                    <m:sSub>
                      <m:e>
                        <m:r>
                          <m:t>Q</m:t>
                        </m:r>
                      </m:e>
                      <m:sub>
                        <m:r>
                          <m:rPr>
                            <m:nor/>
                            <m:sty m:val="p"/>
                          </m:rPr>
                          <m:t>ind</m:t>
                        </m:r>
                      </m:sub>
                    </m:sSub>
                  </m:oMath>
                  <w:r>
                    <w:t xml:space="preserve"> </w:t>
                  </w:r>
                  <w:r>
                    <w:t xml:space="preserve">(0–1800 s)</w:t>
                  </w:r>
                </w:p>
              </w:tc>
              <w:tc>
                <w:tcPr/>
                <w:p>
                  <w:pPr>
                    <w:pStyle w:val="Compact"/>
                    <w:keepNext/>
                  </w:pPr>
                </w:p>
              </w:tc>
              <w:tc>
                <w:tcPr/>
                <w:p>
                  <w:pPr>
                    <w:pStyle w:val="Compact"/>
                    <w:keepNext/>
                    <w:jc w:val="center"/>
                    <w:jc w:val="center"/>
                  </w:pPr>
                  <w:r>
                    <w:t xml:space="preserve">kJ</w:t>
                  </w:r>
                </w:p>
              </w:tc>
            </w:tr>
            <w:tr>
              <w:trPr>
                <w:cantSplit/>
              </w:trPr>
              <w:tc>
                <w:tcPr/>
                <w:p>
                  <w:pPr>
                    <w:pStyle w:val="Compact"/>
                    <w:keepNext/>
                    <w:jc w:val="left"/>
                    <w:jc w:val="center"/>
                  </w:pPr>
                  <w:r>
                    <w:t xml:space="preserve">Temperaturstigning</w:t>
                  </w:r>
                  <w:r>
                    <w:t xml:space="preserve"> </w:t>
                  </w:r>
                  <m:oMath>
                    <m:r>
                      <m:rPr>
                        <m:sty m:val="p"/>
                      </m:rPr>
                      <m:t>Δ</m:t>
                    </m:r>
                    <m:r>
                      <m:t>T</m:t>
                    </m:r>
                  </m:oMath>
                  <w:r>
                    <w:t xml:space="preserve"> </w:t>
                  </w:r>
                  <w:r>
                    <w:t xml:space="preserve">(0–1800 s)</w:t>
                  </w:r>
                </w:p>
              </w:tc>
              <w:tc>
                <w:tcPr/>
                <w:p>
                  <w:pPr>
                    <w:pStyle w:val="Compact"/>
                    <w:keepNext/>
                  </w:pPr>
                </w:p>
              </w:tc>
              <w:tc>
                <w:tcPr/>
                <w:p>
                  <w:pPr>
                    <w:pStyle w:val="Compact"/>
                    <w:keepNext/>
                    <w:jc w:val="center"/>
                    <w:jc w:val="center"/>
                  </w:pPr>
                  <w:r>
                    <w:t xml:space="preserve">°C</w:t>
                  </w:r>
                </w:p>
              </w:tc>
            </w:tr>
            <w:tr>
              <w:trPr>
                <w:cantSplit/>
              </w:trPr>
              <w:tc>
                <w:tcPr/>
                <w:p>
                  <w:pPr>
                    <w:pStyle w:val="Compact"/>
                    <w:keepNext/>
                    <w:jc w:val="left"/>
                    <w:jc w:val="center"/>
                  </w:pPr>
                  <w:r>
                    <w:t xml:space="preserve">Energi opsamlet</w:t>
                  </w:r>
                  <w:r>
                    <w:t xml:space="preserve"> </w:t>
                  </w:r>
                  <m:oMath>
                    <m:sSub>
                      <m:e>
                        <m:r>
                          <m:t>Q</m:t>
                        </m:r>
                      </m:e>
                      <m:sub>
                        <m:r>
                          <m:rPr>
                            <m:nor/>
                            <m:sty m:val="p"/>
                          </m:rPr>
                          <m:t>vand</m:t>
                        </m:r>
                      </m:sub>
                    </m:sSub>
                  </m:oMath>
                  <w:r>
                    <w:t xml:space="preserve"> </w:t>
                  </w:r>
                  <w:r>
                    <w:t xml:space="preserve">(0–1800 s)</w:t>
                  </w:r>
                </w:p>
              </w:tc>
              <w:tc>
                <w:tcPr/>
                <w:p>
                  <w:pPr>
                    <w:pStyle w:val="Compact"/>
                    <w:keepNext/>
                  </w:pPr>
                </w:p>
              </w:tc>
              <w:tc>
                <w:tcPr/>
                <w:p>
                  <w:pPr>
                    <w:pStyle w:val="Compact"/>
                    <w:keepNext/>
                    <w:jc w:val="center"/>
                    <w:jc w:val="center"/>
                  </w:pPr>
                  <w:r>
                    <w:t xml:space="preserve">kJ</w:t>
                  </w:r>
                </w:p>
              </w:tc>
            </w:tr>
            <w:tr>
              <w:trPr>
                <w:cantSplit/>
              </w:trPr>
              <w:tc>
                <w:tcPr/>
                <w:p>
                  <w:pPr>
                    <w:pStyle w:val="Compact"/>
                    <w:keepNext/>
                    <w:jc w:val="left"/>
                    <w:jc w:val="center"/>
                  </w:pPr>
                  <w:r>
                    <w:t xml:space="preserve">Nyttevirkning</w:t>
                  </w:r>
                  <w:r>
                    <w:t xml:space="preserve"> </w:t>
                  </w:r>
                  <m:oMath>
                    <m:r>
                      <m:t>η</m:t>
                    </m:r>
                  </m:oMath>
                  <w:r>
                    <w:t xml:space="preserve"> </w:t>
                  </w:r>
                  <w:r>
                    <w:t xml:space="preserve">(0–1800 s)</w:t>
                  </w:r>
                </w:p>
              </w:tc>
              <w:tc>
                <w:tcPr/>
                <w:p>
                  <w:pPr>
                    <w:pStyle w:val="Compact"/>
                    <w:keepNext/>
                  </w:pPr>
                </w:p>
              </w:tc>
              <w:tc>
                <w:tcPr/>
                <w:p>
                  <w:pPr>
                    <w:pStyle w:val="Compact"/>
                    <w:keepNext/>
                    <w:jc w:val="center"/>
                    <w:jc w:val="center"/>
                  </w:pPr>
                  <w:r>
                    <w:t xml:space="preserve">%</w:t>
                  </w:r>
                </w:p>
              </w:tc>
            </w:tr>
            <w:tr>
              <w:trPr>
                <w:cantSplit/>
              </w:trPr>
              <w:tc>
                <w:tcPr/>
                <w:p>
                  <w:pPr>
                    <w:pStyle w:val="Compact"/>
                    <w:keepNext/>
                    <w:jc w:val="left"/>
                    <w:jc w:val="center"/>
                  </w:pPr>
                  <w:r>
                    <w:t xml:space="preserve">Effekt ind</w:t>
                  </w:r>
                  <w:r>
                    <w:t xml:space="preserve"> </w:t>
                  </w:r>
                  <m:oMath>
                    <m:sSub>
                      <m:e>
                        <m:r>
                          <m:t>P</m:t>
                        </m:r>
                      </m:e>
                      <m:sub>
                        <m:r>
                          <m:rPr>
                            <m:nor/>
                            <m:sty m:val="p"/>
                          </m:rPr>
                          <m:t>ind</m:t>
                        </m:r>
                      </m:sub>
                    </m:sSub>
                  </m:oMath>
                </w:p>
              </w:tc>
              <w:tc>
                <w:tcPr/>
                <w:p>
                  <w:pPr>
                    <w:pStyle w:val="Compact"/>
                    <w:keepNext/>
                  </w:pPr>
                </w:p>
              </w:tc>
              <w:tc>
                <w:tcPr/>
                <w:p>
                  <w:pPr>
                    <w:pStyle w:val="Compact"/>
                    <w:keepNext/>
                    <w:jc w:val="center"/>
                    <w:jc w:val="center"/>
                  </w:pPr>
                  <w:r>
                    <w:t xml:space="preserve">W</w:t>
                  </w:r>
                </w:p>
              </w:tc>
            </w:tr>
            <w:tr>
              <w:trPr>
                <w:cantSplit/>
              </w:trPr>
              <w:tc>
                <w:tcPr/>
                <w:p>
                  <w:pPr>
                    <w:pStyle w:val="Compact"/>
                    <w:keepNext/>
                    <w:jc w:val="left"/>
                    <w:jc w:val="center"/>
                  </w:pPr>
                  <w:r>
                    <w:t xml:space="preserve">Effekt til vandet</w:t>
                  </w:r>
                  <w:r>
                    <w:t xml:space="preserve"> </w:t>
                  </w:r>
                  <m:oMath>
                    <m:sSub>
                      <m:e>
                        <m:r>
                          <m:t>P</m:t>
                        </m:r>
                      </m:e>
                      <m:sub>
                        <m:r>
                          <m:rPr>
                            <m:nor/>
                            <m:sty m:val="p"/>
                          </m:rPr>
                          <m:t>vand</m:t>
                        </m:r>
                      </m:sub>
                    </m:sSub>
                  </m:oMath>
                </w:p>
              </w:tc>
              <w:tc>
                <w:tcPr/>
                <w:p>
                  <w:pPr>
                    <w:pStyle w:val="Compact"/>
                    <w:keepNext/>
                  </w:pPr>
                </w:p>
              </w:tc>
              <w:tc>
                <w:tcPr/>
                <w:p>
                  <w:pPr>
                    <w:pStyle w:val="Compact"/>
                    <w:keepNext/>
                    <w:jc w:val="center"/>
                    <w:jc w:val="center"/>
                  </w:pPr>
                  <w:r>
                    <w:t xml:space="preserve">W</w:t>
                  </w:r>
                </w:p>
              </w:tc>
            </w:tr>
            <w:tr>
              <w:trPr>
                <w:cantSplit/>
              </w:trPr>
              <w:tc>
                <w:tcPr/>
                <w:p>
                  <w:pPr>
                    <w:pStyle w:val="Compact"/>
                    <w:keepNext/>
                    <w:jc w:val="left"/>
                    <w:jc w:val="center"/>
                  </w:pPr>
                  <w:r>
                    <w:t xml:space="preserve">Nyttevirkning de første 10 min</w:t>
                  </w:r>
                </w:p>
              </w:tc>
              <w:tc>
                <w:tcPr/>
                <w:p>
                  <w:pPr>
                    <w:pStyle w:val="Compact"/>
                    <w:keepNext/>
                  </w:pPr>
                </w:p>
              </w:tc>
              <w:tc>
                <w:tcPr/>
                <w:p>
                  <w:pPr>
                    <w:pStyle w:val="Compact"/>
                    <w:keepNext/>
                    <w:jc w:val="center"/>
                    <w:jc w:val="center"/>
                  </w:pPr>
                  <w:r>
                    <w:t xml:space="preserve">%</w:t>
                  </w:r>
                </w:p>
              </w:tc>
            </w:tr>
            <w:tr>
              <w:trPr>
                <w:cantSplit/>
              </w:trPr>
              <w:tc>
                <w:tcPr/>
                <w:p>
                  <w:pPr>
                    <w:pStyle w:val="Compact"/>
                    <w:jc w:val="left"/>
                    <w:jc w:val="center"/>
                  </w:pPr>
                  <w:r>
                    <w:t xml:space="preserve">Nyttevirkning de sidste 10 min</w:t>
                  </w:r>
                </w:p>
              </w:tc>
              <w:tc>
                <w:tcPr/>
                <w:p>
                  <w:pPr>
                    <w:pStyle w:val="Compact"/>
                  </w:pPr>
                </w:p>
              </w:tc>
              <w:tc>
                <w:tcPr/>
                <w:p>
                  <w:pPr>
                    <w:pStyle w:val="Compact"/>
                    <w:jc w:val="center"/>
                    <w:jc w:val="center"/>
                  </w:pPr>
                  <w:r>
                    <w:t xml:space="preserve">%</w:t>
                  </w:r>
                </w:p>
              </w:tc>
            </w:tr>
          </w:tbl>
          <w:bookmarkEnd w:id="45"/>
          <w:p/>
        </w:tc>
      </w:tr>
    </w:tbl>
    <w:bookmarkEnd w:id="46"/>
    <w:bookmarkStart w:id="47" w:name="journalspørgsmål"/>
    <w:p>
      <w:pPr>
        <w:pStyle w:val="Heading2"/>
      </w:pPr>
      <w:r>
        <w:t xml:space="preserve">Journalspørgsmål</w:t>
      </w:r>
    </w:p>
    <w:p>
      <w:pPr>
        <w:pStyle w:val="Compact"/>
        <w:numPr>
          <w:ilvl w:val="0"/>
          <w:numId w:val="1006"/>
        </w:numPr>
      </w:pPr>
      <w:r>
        <w:t xml:space="preserve">Forklar med jeres egne ord, hvordan solfangeren omsætter strålingsenergi til varme i vandet. Brug begreberne absorption, konvektion og varmeveksler.</w:t>
      </w:r>
    </w:p>
    <w:p>
      <w:pPr>
        <w:pStyle w:val="Compact"/>
        <w:numPr>
          <w:ilvl w:val="0"/>
          <w:numId w:val="1006"/>
        </w:numPr>
      </w:pPr>
      <w:r>
        <w:t xml:space="preserve">Hvor er den energi blevet af, der ikke endte i vandet i tanken? Nævn mindst tre steder, energien kan være tabt.</w:t>
      </w:r>
    </w:p>
    <w:p>
      <w:pPr>
        <w:pStyle w:val="Compact"/>
        <w:numPr>
          <w:ilvl w:val="0"/>
          <w:numId w:val="1006"/>
        </w:numPr>
      </w:pPr>
      <w:r>
        <w:t xml:space="preserve">Hvorfor falder nyttevirkningen typisk, efterhånden som vandet bliver varmere? Brug jeres beregning fra punkt 7 i databehandlingen.</w:t>
      </w:r>
    </w:p>
    <w:p>
      <w:pPr>
        <w:pStyle w:val="Compact"/>
        <w:numPr>
          <w:ilvl w:val="0"/>
          <w:numId w:val="1006"/>
        </w:numPr>
      </w:pPr>
      <w:r>
        <w:t xml:space="preserve">Vurdér fejlkilderne: Hvad betyder det for resultatet, at bestrålingsstyrken ikke er lige stor over hele absorberen, at vandet i slangerne og kobberet også bliver varmet op, og at termometeret kun måler ét sted i tanken? Bliver nyttevirkningen over- eller undervurderet?</w:t>
      </w:r>
    </w:p>
    <w:p>
      <w:pPr>
        <w:pStyle w:val="Compact"/>
        <w:numPr>
          <w:ilvl w:val="0"/>
          <w:numId w:val="1006"/>
        </w:numPr>
      </w:pPr>
      <w:r>
        <w:t xml:space="preserve">Ville det gøre en forskel, om absorberen var hvid i stedet for sort? Forklar med begrebet albedo.</w:t>
      </w:r>
    </w:p>
    <w:p>
      <w:pPr>
        <w:pStyle w:val="Compact"/>
        <w:numPr>
          <w:ilvl w:val="0"/>
          <w:numId w:val="1006"/>
        </w:numPr>
      </w:pPr>
      <w:r>
        <w:t xml:space="preserve">Lampen giver en bestrålingsstyrke på nogle hundrede W/m². En klar sommerdag i Danmark kan solen give op til ca. 1000 W/m² på en flade, der vender mod solen, mens en overskyet dag giver langt mindre. Hvad betyder det for, hvor meget varme en solfanger på et hustag kan levere — og hvorfor er det et problem, at behovet for varme er størst om vinteren?</w:t>
      </w:r>
    </w:p>
    <w:p>
      <w:pPr>
        <w:pStyle w:val="Compact"/>
        <w:numPr>
          <w:ilvl w:val="0"/>
          <w:numId w:val="1006"/>
        </w:numPr>
      </w:pPr>
      <w:r>
        <w:t xml:space="preserve">Sammenlign en solfanger med et solcelleanlæg: Hvilken energiform leverer de hver især, og hvorfor har solfangere typisk en højere nyttevirkning end solceller?</w:t>
      </w:r>
    </w:p>
    <w:p>
      <w:pPr>
        <w:pStyle w:val="Compact"/>
        <w:numPr>
          <w:ilvl w:val="0"/>
          <w:numId w:val="1006"/>
        </w:numPr>
      </w:pPr>
      <w:r>
        <w:t xml:space="preserve">Danmark har nogle af verdens største solvarmeanlæg, der leverer varme til fjernvarmenettet (fx ved Silkeborg og Dronninglund). Find et af dem i Google Earth, og mål det omtrentlige areal. Hvilke fordele og ulemper er der ved at bruge et stort landareal til solvarme frem for fx landbrug?</w:t>
      </w:r>
    </w:p>
    <w:bookmarkEnd w:id="47"/>
    <w:bookmarkStart w:id="48" w:name="om-denne-udgave"/>
    <w:p>
      <w:pPr>
        <w:pStyle w:val="Heading2"/>
      </w:pPr>
      <w:r>
        <w:t xml:space="preserve">Om denne udgave</w:t>
      </w:r>
    </w:p>
    <w:p>
      <w:pPr>
        <w:pStyle w:val="FirstParagraph"/>
      </w:pPr>
      <w:r>
        <w:t xml:space="preserve">Bygger på «Solfanger_forsøg.docx» fra naturgeografi C, 2b 2025/26 (forløbet</w:t>
      </w:r>
      <w:r>
        <w:t xml:space="preserve"> </w:t>
      </w:r>
      <w:r>
        <w:rPr>
          <w:i/>
          <w:iCs/>
        </w:rPr>
        <w:t xml:space="preserve">Energi og teknologi</w:t>
      </w:r>
      <w:r>
        <w:t xml:space="preserve">), og på det tilhørende arbejdsark om energi, effekt og virkningsgrad. Fremgangsmåden, mængderne (600 g vand, 60 cm, 30 minutter) og absorberarealet på 0,0756 m² er beholdt. Ændret i forhold til originalen:</w:t>
      </w:r>
    </w:p>
    <w:p>
      <w:pPr>
        <w:pStyle w:val="Compact"/>
        <w:numPr>
          <w:ilvl w:val="0"/>
          <w:numId w:val="1007"/>
        </w:numPr>
      </w:pPr>
      <w:r>
        <w:t xml:space="preserve">«Varmepumpe» i originalens teoriafsnit er rettet til</w:t>
      </w:r>
      <w:r>
        <w:t xml:space="preserve"> </w:t>
      </w:r>
      <w:r>
        <w:rPr>
          <w:i/>
          <w:iCs/>
        </w:rPr>
        <w:t xml:space="preserve">cirkulationspumpe</w:t>
      </w:r>
      <w:r>
        <w:t xml:space="preserve"> </w:t>
      </w:r>
      <w:r>
        <w:t xml:space="preserve">— solfangeren har ingen varmepumpe.</w:t>
      </w:r>
    </w:p>
    <w:p>
      <w:pPr>
        <w:pStyle w:val="Compact"/>
        <w:numPr>
          <w:ilvl w:val="0"/>
          <w:numId w:val="1007"/>
        </w:numPr>
      </w:pPr>
      <w:r>
        <w:t xml:space="preserve">«Strålingskapacitet» er rettet til</w:t>
      </w:r>
      <w:r>
        <w:t xml:space="preserve"> </w:t>
      </w:r>
      <w:r>
        <w:rPr>
          <w:i/>
          <w:iCs/>
        </w:rPr>
        <w:t xml:space="preserve">bestrålingsstyrke</w:t>
      </w:r>
      <w:r>
        <w:t xml:space="preserve">, og</w:t>
      </w:r>
      <w:r>
        <w:t xml:space="preserve"> </w:t>
      </w:r>
      <m:oMath>
        <m:sSub>
          <m:e>
            <m:r>
              <m:t>C</m:t>
            </m:r>
          </m:e>
          <m:sub>
            <m:r>
              <m:t>v</m:t>
            </m:r>
          </m:sub>
        </m:sSub>
      </m:oMath>
      <w:r>
        <w:t xml:space="preserve"> </w:t>
      </w:r>
      <w:r>
        <w:t xml:space="preserve">er skrevet som</w:t>
      </w:r>
      <w:r>
        <w:t xml:space="preserve"> </w:t>
      </w:r>
      <m:oMath>
        <m:sSub>
          <m:e>
            <m:r>
              <m:t>c</m:t>
            </m:r>
          </m:e>
          <m:sub>
            <m:r>
              <m:rPr>
                <m:nor/>
                <m:sty m:val="p"/>
              </m:rPr>
              <m:t>vand</m:t>
            </m:r>
          </m:sub>
        </m:sSub>
      </m:oMath>
      <w:r>
        <w:t xml:space="preserve"> </w:t>
      </w:r>
      <w:r>
        <w:t xml:space="preserve">med enheden kJ/(kg·K).</w:t>
      </w:r>
    </w:p>
    <w:p>
      <w:pPr>
        <w:pStyle w:val="Compact"/>
        <w:numPr>
          <w:ilvl w:val="0"/>
          <w:numId w:val="1007"/>
        </w:numPr>
      </w:pPr>
      <w:r>
        <w:t xml:space="preserve">Pyranometermålingen, som originalen nævner i materialelisten men ikke i fremgangsmåden, er gjort til et trin med fem målepunkter og et gennemsnit.</w:t>
      </w:r>
    </w:p>
    <w:p>
      <w:pPr>
        <w:pStyle w:val="Compact"/>
        <w:numPr>
          <w:ilvl w:val="0"/>
          <w:numId w:val="1007"/>
        </w:numPr>
      </w:pPr>
      <w:r>
        <w:t xml:space="preserve">Kolonnen med omregning til kelvin er taget ud: en temperaturstigning er den samme i °C og K.</w:t>
      </w:r>
    </w:p>
    <w:p>
      <w:pPr>
        <w:pStyle w:val="Compact"/>
        <w:numPr>
          <w:ilvl w:val="0"/>
          <w:numId w:val="1007"/>
        </w:numPr>
      </w:pPr>
      <w:r>
        <w:t xml:space="preserve">Databehandlingen er udvidet med graf, effekt og nyttevirkning i første og sidste del af forsøget. Originalens overskrifter «Fejlkilder» og «Konklusion» er blevet til journalspørgsmål.</w:t>
      </w:r>
    </w:p>
    <w:p>
      <w:pPr>
        <w:pStyle w:val="Compact"/>
        <w:numPr>
          <w:ilvl w:val="0"/>
          <w:numId w:val="1007"/>
        </w:numPr>
      </w:pPr>
      <w:r>
        <w:t xml:space="preserve">Leverandørens produktfotos er ikke genbrugt; kun lærerens eget foto af opstillingen.</w:t>
      </w:r>
    </w:p>
    <w:bookmarkEnd w:id="48"/>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8" Target="media/rId28.png" /><Relationship Type="http://schemas.openxmlformats.org/officeDocument/2006/relationships/image" Id="rId31" Target="media/rId31.png" /><Relationship Type="http://schemas.openxmlformats.org/officeDocument/2006/relationships/image" Id="rId37" Target="media/rId37.png" /><Relationship Type="http://schemas.openxmlformats.org/officeDocument/2006/relationships/image" Id="rId20" Target="media/rId20.jp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Solfangerforsøg</dc:title>
  <dc:creator/>
  <dc:language>da</dc:language>
  <cp:keywords/>
  <dcterms:created xsi:type="dcterms:W3CDTF">2026-10-14T12:51:08Z</dcterms:created>
  <dcterms:modified xsi:type="dcterms:W3CDTF">2026-10-14T12:51:08Z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Hvor stor en del af lyset bliver til varmt vand?</vt:lpwstr>
  </property>
  <property fmtid="{D5CDD505-2E9C-101B-9397-08002B2CF9AE}" pid="11" name="toc-title">
    <vt:lpwstr>Indholdsfortegnelse</vt:lpwstr>
  </property>
</Properties>
</file>