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media/rId21.png" ContentType="image/png"/>
  <Override PartName="/word/media/rId24.png" ContentType="image/png"/>
  <Override PartName="/word/media/rId30.png" ContentType="image/png"/>
  <Override PartName="/word/media/ff4355ab3d7b3fb047ac1bb9b81f09919282c810.png" ContentType="image/png"/>
  <Override PartName="/word/media/22118e1eede36edf4136c10d3e20d9ff95fafa9e.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a="http://schemas.openxmlformats.org/drawingml/2006/main" xmlns:m="http://schemas.openxmlformats.org/officeDocument/2006/math" xmlns:pic="http://schemas.openxmlformats.org/drawingml/2006/picture" xmlns:r="http://schemas.openxmlformats.org/officeDocument/2006/relationships" xmlns:w="http://schemas.openxmlformats.org/wordprocessingml/2006/main" xmlns:wp="http://schemas.openxmlformats.org/drawingml/2006/wordprocessingDrawing">
  <w:body>
    <w:p>
      <w:pPr>
        <w:pStyle w:val="Title"/>
      </w:pPr>
      <w:r>
        <w:t xml:space="preserve">Sø- og landbrise</w:t>
      </w:r>
    </w:p>
    <w:p>
      <w:pPr>
        <w:pStyle w:val="Subtitle"/>
      </w:pPr>
      <w:r>
        <w:t xml:space="preserve">Hvad bliver hurtigst varmt — og hurtigst koldt igen: sand eller vand?</w:t>
      </w:r>
    </w:p>
    <w:p>
      <w:pPr>
        <w:pStyle w:val="FirstParagraph"/>
      </w:pPr>
      <w:r>
        <w:rPr>
          <w:b/>
          <w:bCs/>
        </w:rPr>
        <w:t xml:space="preserve">Dato:</w:t>
      </w:r>
      <w:r>
        <w:t xml:space="preserve"> </w:t>
      </w:r>
      <w:r>
        <w:t xml:space="preserve">____________________     </w:t>
      </w:r>
      <w:r>
        <w:t xml:space="preserve"> </w:t>
      </w:r>
      <w:r>
        <w:rPr>
          <w:b/>
          <w:bCs/>
        </w:rPr>
        <w:t xml:space="preserve">Gruppe / navne:</w:t>
      </w:r>
      <w:r>
        <w:t xml:space="preserve"> </w:t>
      </w:r>
      <w:r>
        <w:t xml:space="preserve">________________________________________</w:t>
      </w:r>
    </w:p>
    <w:bookmarkStart w:id="19" w:name="om-øvelsen"/>
    <w:p>
      <w:pPr>
        <w:pStyle w:val="Heading2"/>
      </w:pPr>
      <w:r>
        <w:t xml:space="preserve">Om øvelsen</w:t>
      </w:r>
    </w:p>
    <w:p>
      <w:pPr>
        <w:pStyle w:val="FirstParagraph"/>
      </w:pPr>
      <w:r>
        <w:t xml:space="preserve">En varm sommerdag ved kysten blæser det ofte ind fra havet om eftermiddagen — en</w:t>
      </w:r>
      <w:r>
        <w:t xml:space="preserve"> </w:t>
      </w:r>
      <w:r>
        <w:rPr>
          <w:i/>
          <w:iCs/>
        </w:rPr>
        <w:t xml:space="preserve">søbrise</w:t>
      </w:r>
      <w:r>
        <w:t xml:space="preserve">. Om aftenen og natten kan vinden vende og blæse ud mod havet — en</w:t>
      </w:r>
      <w:r>
        <w:t xml:space="preserve"> </w:t>
      </w:r>
      <w:r>
        <w:rPr>
          <w:i/>
          <w:iCs/>
        </w:rPr>
        <w:t xml:space="preserve">landbrise</w:t>
      </w:r>
      <w:r>
        <w:t xml:space="preserve">. I denne øvelse simulerer I et døgn ved kysten: en skål sand er «land», en skål vand er «hav», og en lampe er «solen». I måler, hvordan de to overflader bliver varmet op om «dagen» og afkølet om «natten», og bruger resultatet til at forklare, hvorfor vinden skifter retning.</w:t>
      </w:r>
    </w:p>
    <w:bookmarkEnd w:id="19"/>
    <w:bookmarkStart w:id="20" w:name="baggrund"/>
    <w:p>
      <w:pPr>
        <w:pStyle w:val="Heading2"/>
      </w:pPr>
      <w:r>
        <w:t xml:space="preserve">Baggrund</w:t>
      </w:r>
    </w:p>
    <w:p>
      <w:pPr>
        <w:pStyle w:val="FirstParagraph"/>
      </w:pPr>
      <w:r>
        <w:t xml:space="preserve">Land og hav reagerer forskelligt på solens stråling:</w:t>
      </w:r>
    </w:p>
    <w:p>
      <w:pPr>
        <w:pStyle w:val="Compact"/>
        <w:numPr>
          <w:ilvl w:val="0"/>
          <w:numId w:val="1001"/>
        </w:numPr>
      </w:pPr>
      <w:r>
        <w:t xml:space="preserve">Vand har en høj specifik varmekapacitet (ca. 4,2 kJ/(kg·K)) — det skal have meget energi for at blive én grad varmere. Tørt sand har en langt lavere varmekapacitet (under 1 kJ/(kg·K)).</w:t>
      </w:r>
    </w:p>
    <w:p>
      <w:pPr>
        <w:pStyle w:val="Compact"/>
        <w:numPr>
          <w:ilvl w:val="0"/>
          <w:numId w:val="1001"/>
        </w:numPr>
      </w:pPr>
      <w:r>
        <w:t xml:space="preserve">I sand bliver varmen i de øverste få centimeter. I vand trænger lyset et stykke ned, og vandet blandes, så varmen fordeles i et tykkere lag.</w:t>
      </w:r>
    </w:p>
    <w:p>
      <w:pPr>
        <w:pStyle w:val="Compact"/>
        <w:numPr>
          <w:ilvl w:val="0"/>
          <w:numId w:val="1001"/>
        </w:numPr>
      </w:pPr>
      <w:r>
        <w:t xml:space="preserve">Fra en vandoverflade fordamper der vand, og fordampningen bruger energi.</w:t>
      </w:r>
    </w:p>
    <w:p>
      <w:pPr>
        <w:pStyle w:val="FirstParagraph"/>
      </w:pPr>
      <w:r>
        <w:t xml:space="preserve">Når luften over land bliver varmere end luften over havet, udvider den sig og stiger op. Ved jordoverfladen opstår et termisk lavtryk over land og et termisk højtryk over havet, og luften strømmer fra højtryk mod lavtryk. Om natten kan forholdet vende. Den samme mekanisme driver monsunen, bare over et helt kontinent og et helt år.</w:t>
      </w:r>
    </w:p>
    <w:bookmarkEnd w:id="20"/>
    <w:bookmarkStart w:id="27" w:name="hypotese"/>
    <w:p>
      <w:pPr>
        <w:pStyle w:val="Heading2"/>
      </w:pPr>
      <w:r>
        <w:t xml:space="preserve">Hypotese</w:t>
      </w:r>
    </w:p>
    <w:p>
      <w:pPr>
        <w:pStyle w:val="FirstParagraph"/>
      </w:pPr>
      <w:r>
        <w:t xml:space="preserve">Hvad tror I bliver hurtigst varmt, sandet eller vandet? Og hvad bliver hurtigst koldt igen? Skriv jeres hypotese med en kort begrundelse, før I tænder lampen.</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keepN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Applications/quarto/share/formats/docx/important.png" id="23" name="Picture"/>
                          <pic:cNvPicPr>
                            <a:picLocks noChangeArrowheads="1" noChangeAspect="1"/>
                          </pic:cNvPicPr>
                        </pic:nvPicPr>
                        <pic:blipFill>
                          <a:blip r:embed="rId2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Sikkerhed</w:t>
            </w:r>
          </w:p>
        </w:tc>
      </w:tr>
      <w:tr>
        <w:trPr>
          <w:cantSplit/>
        </w:trPr>
        <w:tc>
          <w:tcPr>
            <w:tcMar>
              <w:top w:w="108" w:type="dxa"/>
              <w:bottom w:w="108" w:type="dxa"/>
            </w:tcMar>
          </w:tcPr>
          <w:p>
            <w:pPr>
              <w:pStyle w:val="BodyText"/>
            </w:pPr>
            <w:pPr>
              <w:spacing w:before="16" w:after="16"/>
            </w:pPr>
            <w:r>
              <w:t xml:space="preserve">Lampen bliver varm. Rør ikke ved skærmen, og hold vand væk fra lampe og ledning. Peg aldrig et IR-termometer med laser mod nogens øjne.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keepNext/>
            </w:pPr>
            <w:pPr>
              <w:spacing w:before="0" w:after="0"/>
              <w:textAlignment w:val="center"/>
            </w:pPr>
            <w:r>
              <w:drawing>
                <wp:inline>
                  <wp:extent cx="152400" cy="152400"/>
                  <wp:effectExtent b="0" l="0" r="0" t="0"/>
                  <wp:docPr descr="" title="" id="25" name="Picture"/>
                  <a:graphic>
                    <a:graphicData uri="http://schemas.openxmlformats.org/drawingml/2006/picture">
                      <pic:pic>
                        <pic:nvPicPr>
                          <pic:cNvPr descr="/Applications/quarto/share/formats/docx/note.png" id="26" name="Picture"/>
                          <pic:cNvPicPr>
                            <a:picLocks noChangeArrowheads="1" noChangeAspect="1"/>
                          </pic:cNvPicPr>
                        </pic:nvPicPr>
                        <pic:blipFill>
                          <a:blip r:embed="rId24"/>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Materialer (pr. gruppe)</w:t>
            </w:r>
          </w:p>
        </w:tc>
      </w:tr>
      <w:tr>
        <w:trPr>
          <w:cantSplit/>
        </w:trPr>
        <w:tc>
          <w:tcPr>
            <w:tcMar>
              <w:top w:w="108" w:type="dxa"/>
              <w:bottom w:w="108" w:type="dxa"/>
            </w:tcMar>
          </w:tcPr>
          <w:p>
            <w:pPr>
              <w:pStyle w:val="Compact"/>
              <w:numPr>
                <w:ilvl w:val="0"/>
                <w:numId w:val="1002"/>
              </w:numPr>
            </w:pPr>
            <w:r>
              <w:t xml:space="preserve">To ens skåle eller kar: ét med tørt sand og ét med vand (samme fyldhøjde)</w:t>
            </w:r>
          </w:p>
          <w:p>
            <w:pPr>
              <w:pStyle w:val="Compact"/>
              <w:numPr>
                <w:ilvl w:val="0"/>
                <w:numId w:val="1002"/>
              </w:numPr>
            </w:pPr>
            <w:r>
              <w:t xml:space="preserve">Arkitektlampe med glødepære eller halogenpære (en LED-pære giver næsten ingen varme)</w:t>
            </w:r>
          </w:p>
          <w:p>
            <w:pPr>
              <w:pStyle w:val="Compact"/>
              <w:numPr>
                <w:ilvl w:val="0"/>
                <w:numId w:val="1002"/>
              </w:numPr>
            </w:pPr>
            <w:r>
              <w:t xml:space="preserve">IR-termometer</w:t>
            </w:r>
          </w:p>
          <w:p>
            <w:pPr>
              <w:pStyle w:val="Compact"/>
              <w:numPr>
                <w:ilvl w:val="0"/>
                <w:numId w:val="1002"/>
              </w:numPr>
            </w:pPr>
            <w:r>
              <w:t xml:space="preserve">Lineal</w:t>
            </w:r>
          </w:p>
          <w:p>
            <w:pPr>
              <w:pStyle w:val="Compact"/>
              <w:numPr>
                <w:ilvl w:val="0"/>
                <w:numId w:val="1002"/>
              </w:numPr>
            </w:pPr>
            <w:r>
              <w:t xml:space="preserve">Stopur (fx på mobilen)</w:t>
            </w:r>
          </w:p>
          <w:p/>
        </w:tc>
      </w:tr>
    </w:tbl>
    <w:bookmarkEnd w:id="27"/>
    <w:bookmarkStart w:id="34" w:name="fremgangsmåde"/>
    <w:p>
      <w:pPr>
        <w:pStyle w:val="Heading2"/>
      </w:pPr>
      <w:r>
        <w:t xml:space="preserve">Fremgangsmåde</w:t>
      </w:r>
    </w:p>
    <w:bookmarkStart w:id="28" w:name="klargøring"/>
    <w:p>
      <w:pPr>
        <w:pStyle w:val="Heading3"/>
      </w:pPr>
      <w:r>
        <w:t xml:space="preserve">Klargøring</w:t>
      </w:r>
    </w:p>
    <w:p>
      <w:pPr>
        <w:pStyle w:val="Compact"/>
        <w:numPr>
          <w:ilvl w:val="0"/>
          <w:numId w:val="1003"/>
        </w:numPr>
      </w:pPr>
      <w:r>
        <w:t xml:space="preserve">Fyld den ene skål med sand og den anden med vand fra hanen, så de er fyldt lige højt. Lad dem stå et stykke tid, så de har samme temperatur som rummet.</w:t>
      </w:r>
    </w:p>
    <w:p>
      <w:pPr>
        <w:pStyle w:val="Compact"/>
        <w:numPr>
          <w:ilvl w:val="0"/>
          <w:numId w:val="1003"/>
        </w:numPr>
      </w:pPr>
      <w:r>
        <w:t xml:space="preserve">Stil skålene tæt ved siden af hinanden, og indstil lampen, så den hænger ca. 20 cm over midten mellem dem og lyser lige meget på begge. Lampen skal være slukket.</w:t>
      </w:r>
    </w:p>
    <w:p>
      <w:pPr>
        <w:pStyle w:val="Compact"/>
        <w:numPr>
          <w:ilvl w:val="0"/>
          <w:numId w:val="1003"/>
        </w:numPr>
      </w:pPr>
      <w:r>
        <w:t xml:space="preserve">Mål starttemperaturen på overfladen af sandet og vandet med IR-termometeret, og skriv den i</w:t>
      </w:r>
      <w:r>
        <w:t xml:space="preserve"> </w:t>
      </w:r>
      <w:hyperlink w:anchor="tbl-1">
        <w:r>
          <w:rPr>
            <w:rStyle w:val="Hyperlink"/>
          </w:rPr>
          <w:t xml:space="preserve">Tabel 1</w:t>
        </w:r>
      </w:hyperlink>
      <w:r>
        <w:t xml:space="preserve"> </w:t>
      </w:r>
      <w:r>
        <w:t xml:space="preserve">ud for 0 min. Hold termometeret i samme afstand og peg på midten af skålen hver gang.</w:t>
      </w:r>
    </w:p>
    <w:bookmarkEnd w:id="28"/>
    <w:bookmarkStart w:id="29" w:name="dag-solen-skinner"/>
    <w:p>
      <w:pPr>
        <w:pStyle w:val="Heading3"/>
      </w:pPr>
      <w:r>
        <w:t xml:space="preserve">«Dag» — solen skinner</w:t>
      </w:r>
    </w:p>
    <w:p>
      <w:pPr>
        <w:pStyle w:val="Compact"/>
        <w:numPr>
          <w:ilvl w:val="0"/>
          <w:numId w:val="1004"/>
        </w:numPr>
      </w:pPr>
      <w:r>
        <w:t xml:space="preserve">Tænd lampen, og start stopuret samtidig.</w:t>
      </w:r>
    </w:p>
    <w:p>
      <w:pPr>
        <w:pStyle w:val="Compact"/>
        <w:numPr>
          <w:ilvl w:val="0"/>
          <w:numId w:val="1004"/>
        </w:numPr>
      </w:pPr>
      <w:r>
        <w:t xml:space="preserve">Mål temperaturen af sand og vand hvert 3. minut, og skriv tallene i</w:t>
      </w:r>
      <w:r>
        <w:t xml:space="preserve"> </w:t>
      </w:r>
      <w:hyperlink w:anchor="tbl-1">
        <w:r>
          <w:rPr>
            <w:rStyle w:val="Hyperlink"/>
          </w:rPr>
          <w:t xml:space="preserve">Tabel 1</w:t>
        </w:r>
      </w:hyperlink>
      <w:r>
        <w:t xml:space="preserve">.</w:t>
      </w:r>
    </w:p>
    <w:p>
      <w:pPr>
        <w:pStyle w:val="Compact"/>
        <w:numPr>
          <w:ilvl w:val="0"/>
          <w:numId w:val="1004"/>
        </w:numPr>
      </w:pPr>
      <w:r>
        <w:t xml:space="preserve">Fortsæt, til stopuret viser 15 minutter.</w:t>
      </w:r>
    </w:p>
    <w:bookmarkEnd w:id="29"/>
    <w:bookmarkStart w:id="33" w:name="nat-solen-er-gået-ned"/>
    <w:p>
      <w:pPr>
        <w:pStyle w:val="Heading3"/>
      </w:pPr>
      <w:r>
        <w:t xml:space="preserve">«Nat» — solen er gået ned</w:t>
      </w:r>
    </w:p>
    <w:p>
      <w:pPr>
        <w:pStyle w:val="Compact"/>
        <w:numPr>
          <w:ilvl w:val="0"/>
          <w:numId w:val="1005"/>
        </w:numPr>
      </w:pPr>
      <w:r>
        <w:t xml:space="preserve">Sluk lampen ved 15 minutter, men lad stopuret køre videre.</w:t>
      </w:r>
    </w:p>
    <w:p>
      <w:pPr>
        <w:pStyle w:val="Compact"/>
        <w:numPr>
          <w:ilvl w:val="0"/>
          <w:numId w:val="1005"/>
        </w:numPr>
      </w:pPr>
      <w:r>
        <w:t xml:space="preserve">Mål fortsat temperaturen af sand og vand hvert 3. minut.</w:t>
      </w:r>
    </w:p>
    <w:p>
      <w:pPr>
        <w:pStyle w:val="Compact"/>
        <w:numPr>
          <w:ilvl w:val="0"/>
          <w:numId w:val="1005"/>
        </w:numPr>
      </w:pPr>
      <w:r>
        <w:t xml:space="preserve">Stop, når stopuret viser 30 minutter.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keepN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Applications/quarto/share/formats/docx/tip.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w:t>
            </w:r>
          </w:p>
        </w:tc>
      </w:tr>
      <w:tr>
        <w:trPr>
          <w:cantSplit/>
        </w:trPr>
        <w:tc>
          <w:tcPr>
            <w:tcMar>
              <w:top w:w="108" w:type="dxa"/>
              <w:bottom w:w="108" w:type="dxa"/>
            </w:tcMar>
          </w:tcPr>
          <w:p>
            <w:pPr>
              <w:pStyle w:val="BodyText"/>
            </w:pPr>
            <w:pPr>
              <w:spacing w:before="16" w:after="16"/>
            </w:pPr>
            <w:r>
              <w:t xml:space="preserve">Flyt ikke lampen eller skålene undervejs. Sluk lampen</w:t>
            </w:r>
            <w:r>
              <w:t xml:space="preserve"> </w:t>
            </w:r>
            <w:r>
              <w:rPr>
                <w:i/>
                <w:iCs/>
              </w:rPr>
              <w:t xml:space="preserve">efter</w:t>
            </w:r>
            <w:r>
              <w:t xml:space="preserve"> </w:t>
            </w:r>
            <w:r>
              <w:t xml:space="preserve">målingen ved 15 minutter, så målingerne til og med 15 min hører til «dagen».</w:t>
            </w:r>
          </w:p>
          <w:p/>
        </w:tc>
      </w:tr>
    </w:tbl>
    <w:bookmarkEnd w:id="33"/>
    <w:bookmarkEnd w:id="34"/>
    <w:bookmarkStart w:id="36" w:name="registrering-af-målinger"/>
    <w:p>
      <w:pPr>
        <w:pStyle w:val="Heading2"/>
      </w:pPr>
      <w:r>
        <w:t xml:space="preserve">Registrering af målinger</w:t>
      </w:r>
    </w:p>
    <w:tbl>
      <w:tblPr>
        <w:tblStyle w:val="Table"/>
        <w:tblW w:type="pct" w:w="5000"/>
        <w:tblLayout w:type="fixed"/>
        <w:tblLook w:firstRow="0" w:lastRow="0" w:firstColumn="0" w:lastColumn="0" w:noHBand="0" w:noVBand="0" w:val="0000"/>
      </w:tblPr>
      <w:tblGrid>
        <w:gridCol w:w="7920"/>
      </w:tblGrid>
      <w:tr>
        <w:tc>
          <w:tcPr/>
          <w:bookmarkStart w:id="35" w:name="tbl-1"/>
          <w:p>
            <w:pPr>
              <w:jc w:val="center"/>
            </w:pPr>
            <w:pPr>
              <w:jc w:val="left"/>
              <w:spacing w:before="200"/>
              <w:pStyle w:val="ImageCaption"/>
            </w:pPr>
            <w:r>
              <w:t xml:space="preserve">Tabel 1: Overfladetemperatur af sand og vand. Den sidste kolonne udfyldes i databehandlingen.</w:t>
            </w:r>
          </w:p>
          <w:tbl>
            <w:tblPr>
              <w:tblStyle w:val="Table"/>
              <w:tblW w:type="auto" w:w="0"/>
              <w:tblLook w:firstRow="1" w:lastRow="0" w:firstColumn="0" w:lastColumn="0" w:noHBand="0" w:noVBand="0" w:val="0020"/>
            </w:tblPr>
            <w:tblGrid>
              <w:gridCol w:w="1584"/>
              <w:gridCol w:w="1584"/>
              <w:gridCol w:w="1584"/>
              <w:gridCol w:w="1584"/>
              <w:gridCol w:w="1584"/>
            </w:tblGrid>
            <w:tr>
              <w:trPr>
                <w:cantSplit/>
                <w:tblHeader w:val="on"/>
              </w:trPr>
              <w:tc>
                <w:tcPr/>
                <w:p>
                  <w:pPr>
                    <w:pStyle w:val="Compact"/>
                    <w:keepNext/>
                    <w:jc w:val="center"/>
                    <w:jc w:val="center"/>
                  </w:pPr>
                  <w:r>
                    <w:t xml:space="preserve">Tid (min)</w:t>
                  </w:r>
                </w:p>
              </w:tc>
              <w:tc>
                <w:tcPr/>
                <w:p>
                  <w:pPr>
                    <w:pStyle w:val="Compact"/>
                    <w:keepNext/>
                    <w:jc w:val="center"/>
                    <w:jc w:val="center"/>
                  </w:pPr>
                  <w:r>
                    <w:t xml:space="preserve">Lampe</w:t>
                  </w:r>
                </w:p>
              </w:tc>
              <w:tc>
                <w:tcPr/>
                <w:p>
                  <w:pPr>
                    <w:pStyle w:val="Compact"/>
                    <w:keepNext/>
                    <w:jc w:val="center"/>
                    <w:jc w:val="center"/>
                  </w:pPr>
                  <w:r>
                    <w:t xml:space="preserve">Sand (°C)</w:t>
                  </w:r>
                </w:p>
              </w:tc>
              <w:tc>
                <w:tcPr/>
                <w:p>
                  <w:pPr>
                    <w:pStyle w:val="Compact"/>
                    <w:keepNext/>
                    <w:jc w:val="center"/>
                    <w:jc w:val="center"/>
                  </w:pPr>
                  <w:r>
                    <w:t xml:space="preserve">Vand (°C)</w:t>
                  </w:r>
                </w:p>
              </w:tc>
              <w:tc>
                <w:tcPr/>
                <w:p>
                  <w:pPr>
                    <w:pStyle w:val="Compact"/>
                    <w:keepNext/>
                    <w:jc w:val="center"/>
                    <w:jc w:val="center"/>
                  </w:pPr>
                  <w:r>
                    <w:t xml:space="preserve">Sand − vand (°C)</w:t>
                  </w:r>
                </w:p>
              </w:tc>
            </w:tr>
            <w:tr>
              <w:trPr>
                <w:cantSplit/>
              </w:trPr>
              <w:tc>
                <w:tcPr/>
                <w:p>
                  <w:pPr>
                    <w:pStyle w:val="Compact"/>
                    <w:keepNext/>
                    <w:jc w:val="center"/>
                    <w:jc w:val="center"/>
                  </w:pPr>
                  <w:r>
                    <w:t xml:space="preserve">0</w:t>
                  </w:r>
                </w:p>
              </w:tc>
              <w:tc>
                <w:tcPr/>
                <w:p>
                  <w:pPr>
                    <w:pStyle w:val="Compact"/>
                    <w:keepNext/>
                    <w:jc w:val="center"/>
                    <w:jc w:val="center"/>
                  </w:pPr>
                  <w:r>
                    <w:t xml:space="preserve">slukket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3</w:t>
                  </w:r>
                </w:p>
              </w:tc>
              <w:tc>
                <w:tcPr/>
                <w:p>
                  <w:pPr>
                    <w:pStyle w:val="Compact"/>
                    <w:keepNext/>
                    <w:jc w:val="center"/>
                    <w:jc w:val="center"/>
                  </w:pPr>
                  <w:r>
                    <w:t xml:space="preserve">tændt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6</w:t>
                  </w:r>
                </w:p>
              </w:tc>
              <w:tc>
                <w:tcPr/>
                <w:p>
                  <w:pPr>
                    <w:pStyle w:val="Compact"/>
                    <w:keepNext/>
                    <w:jc w:val="center"/>
                    <w:jc w:val="center"/>
                  </w:pPr>
                  <w:r>
                    <w:t xml:space="preserve">tændt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9</w:t>
                  </w:r>
                </w:p>
              </w:tc>
              <w:tc>
                <w:tcPr/>
                <w:p>
                  <w:pPr>
                    <w:pStyle w:val="Compact"/>
                    <w:keepNext/>
                    <w:jc w:val="center"/>
                    <w:jc w:val="center"/>
                  </w:pPr>
                  <w:r>
                    <w:t xml:space="preserve">tændt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12</w:t>
                  </w:r>
                </w:p>
              </w:tc>
              <w:tc>
                <w:tcPr/>
                <w:p>
                  <w:pPr>
                    <w:pStyle w:val="Compact"/>
                    <w:keepNext/>
                    <w:jc w:val="center"/>
                    <w:jc w:val="center"/>
                  </w:pPr>
                  <w:r>
                    <w:t xml:space="preserve">tændt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15</w:t>
                  </w:r>
                </w:p>
              </w:tc>
              <w:tc>
                <w:tcPr/>
                <w:p>
                  <w:pPr>
                    <w:pStyle w:val="Compact"/>
                    <w:keepNext/>
                    <w:jc w:val="center"/>
                    <w:jc w:val="center"/>
                  </w:pPr>
                  <w:r>
                    <w:t xml:space="preserve">tændt → slukkes</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18</w:t>
                  </w:r>
                </w:p>
              </w:tc>
              <w:tc>
                <w:tcPr/>
                <w:p>
                  <w:pPr>
                    <w:pStyle w:val="Compact"/>
                    <w:keepNext/>
                    <w:jc w:val="center"/>
                    <w:jc w:val="center"/>
                  </w:pPr>
                  <w:r>
                    <w:t xml:space="preserve">slukket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21</w:t>
                  </w:r>
                </w:p>
              </w:tc>
              <w:tc>
                <w:tcPr/>
                <w:p>
                  <w:pPr>
                    <w:pStyle w:val="Compact"/>
                    <w:keepNext/>
                    <w:jc w:val="center"/>
                    <w:jc w:val="center"/>
                  </w:pPr>
                  <w:r>
                    <w:t xml:space="preserve">slukket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24</w:t>
                  </w:r>
                </w:p>
              </w:tc>
              <w:tc>
                <w:tcPr/>
                <w:p>
                  <w:pPr>
                    <w:pStyle w:val="Compact"/>
                    <w:keepNext/>
                    <w:jc w:val="center"/>
                    <w:jc w:val="center"/>
                  </w:pPr>
                  <w:r>
                    <w:t xml:space="preserve">slukket</w:t>
                  </w:r>
                </w:p>
              </w:tc>
              <w:tc>
                <w:tcPr/>
                <w:p>
                  <w:pPr>
                    <w:pStyle w:val="Compact"/>
                    <w:keepNext/>
                  </w:pPr>
                </w:p>
              </w:tc>
              <w:tc>
                <w:tcPr/>
                <w:p>
                  <w:pPr>
                    <w:pStyle w:val="Compact"/>
                    <w:keepNext/>
                  </w:pPr>
                </w:p>
              </w:tc>
              <w:tc>
                <w:tcPr/>
                <w:p>
                  <w:pPr>
                    <w:pStyle w:val="Compact"/>
                    <w:keepNext/>
                  </w:pPr>
                </w:p>
              </w:tc>
            </w:tr>
            <w:tr>
              <w:trPr>
                <w:cantSplit/>
              </w:trPr>
              <w:tc>
                <w:tcPr/>
                <w:p>
                  <w:pPr>
                    <w:pStyle w:val="Compact"/>
                    <w:keepNext/>
                    <w:jc w:val="center"/>
                    <w:jc w:val="center"/>
                  </w:pPr>
                  <w:r>
                    <w:t xml:space="preserve">27</w:t>
                  </w:r>
                </w:p>
              </w:tc>
              <w:tc>
                <w:tcPr/>
                <w:p>
                  <w:pPr>
                    <w:pStyle w:val="Compact"/>
                    <w:keepNext/>
                    <w:jc w:val="center"/>
                    <w:jc w:val="center"/>
                  </w:pPr>
                  <w:r>
                    <w:t xml:space="preserve">slukket</w:t>
                  </w:r>
                </w:p>
              </w:tc>
              <w:tc>
                <w:tcPr/>
                <w:p>
                  <w:pPr>
                    <w:pStyle w:val="Compact"/>
                    <w:keepNext/>
                  </w:pPr>
                </w:p>
              </w:tc>
              <w:tc>
                <w:tcPr/>
                <w:p>
                  <w:pPr>
                    <w:pStyle w:val="Compact"/>
                    <w:keepNext/>
                  </w:pPr>
                </w:p>
              </w:tc>
              <w:tc>
                <w:tcPr/>
                <w:p>
                  <w:pPr>
                    <w:pStyle w:val="Compact"/>
                    <w:keepNext/>
                  </w:pPr>
                </w:p>
              </w:tc>
            </w:tr>
            <w:tr>
              <w:trPr>
                <w:cantSplit/>
              </w:trPr>
              <w:tc>
                <w:tcPr/>
                <w:p>
                  <w:pPr>
                    <w:pStyle w:val="Compact"/>
                    <w:jc w:val="center"/>
                    <w:jc w:val="center"/>
                  </w:pPr>
                  <w:r>
                    <w:t xml:space="preserve">30</w:t>
                  </w:r>
                </w:p>
              </w:tc>
              <w:tc>
                <w:tcPr/>
                <w:p>
                  <w:pPr>
                    <w:pStyle w:val="Compact"/>
                    <w:jc w:val="center"/>
                    <w:jc w:val="center"/>
                  </w:pPr>
                  <w:r>
                    <w:t xml:space="preserve">slukket</w:t>
                  </w:r>
                </w:p>
              </w:tc>
              <w:tc>
                <w:tcPr/>
                <w:p>
                  <w:pPr>
                    <w:pStyle w:val="Compact"/>
                  </w:pPr>
                </w:p>
              </w:tc>
              <w:tc>
                <w:tcPr/>
                <w:p>
                  <w:pPr>
                    <w:pStyle w:val="Compact"/>
                  </w:pPr>
                </w:p>
              </w:tc>
              <w:tc>
                <w:tcPr/>
                <w:p>
                  <w:pPr>
                    <w:pStyle w:val="Compact"/>
                  </w:pPr>
                </w:p>
              </w:tc>
            </w:tr>
          </w:tbl>
          <w:bookmarkEnd w:id="35"/>
          <w:p/>
        </w:tc>
      </w:tr>
    </w:tbl>
    <w:p>
      <w:pPr>
        <w:pStyle w:val="BodyText"/>
      </w:pPr>
      <w:r>
        <w:t xml:space="preserve">Afstand fra lampe til skåle: ________ cm</w:t>
      </w:r>
    </w:p>
    <w:bookmarkEnd w:id="36"/>
    <w:bookmarkStart w:id="38" w:name="databehandling"/>
    <w:p>
      <w:pPr>
        <w:pStyle w:val="Heading2"/>
      </w:pPr>
      <w:r>
        <w:t xml:space="preserve">Databehandling</w:t>
      </w:r>
    </w:p>
    <w:p>
      <w:pPr>
        <w:numPr>
          <w:ilvl w:val="0"/>
          <w:numId w:val="1006"/>
        </w:numPr>
      </w:pPr>
      <w:r>
        <w:t xml:space="preserve">Lav et (x,y)-punktdiagram i Excel eller Google Sheets med tiden i minutter på x-aksen og temperaturen i °C på y-aksen. Tegn sand og vand som to serier i samme diagram, navngiv akserne, og markér, hvor lampen blev slukket.</w:t>
      </w:r>
    </w:p>
    <w:p>
      <w:pPr>
        <w:numPr>
          <w:ilvl w:val="0"/>
          <w:numId w:val="1006"/>
        </w:numPr>
      </w:pPr>
      <w:r>
        <w:t xml:space="preserve">Beregn temperaturforskellen mellem «land» og «hav» til hvert tidspunkt, og skriv den i sidste kolonne af</w:t>
      </w:r>
      <w:r>
        <w:t xml:space="preserve"> </w:t>
      </w:r>
      <w:hyperlink w:anchor="tbl-1">
        <w:r>
          <w:rPr>
            <w:rStyle w:val="Hyperlink"/>
          </w:rPr>
          <w:t xml:space="preserve">Tabel 1</w:t>
        </w:r>
      </w:hyperlink>
      <w:r>
        <w:t xml:space="preserve">:</w:t>
      </w:r>
    </w:p>
    <w:p>
      <w:pPr>
        <w:pStyle w:val="BodyText"/>
      </w:pPr>
      <m:oMathPara>
        <m:oMathParaPr>
          <m:jc m:val="center"/>
        </m:oMathParaPr>
        <m:oMath>
          <m:r>
            <m:rPr>
              <m:sty m:val="p"/>
            </m:rPr>
            <m:t>Δ</m:t>
          </m:r>
          <m:sSub>
            <m:e>
              <m:r>
                <m:t>T</m:t>
              </m:r>
            </m:e>
            <m:sub>
              <m:r>
                <m:rPr>
                  <m:nor/>
                  <m:sty m:val="p"/>
                </m:rPr>
                <m:t>land–hav</m:t>
              </m:r>
            </m:sub>
          </m:sSub>
          <m:r>
            <m:rPr>
              <m:sty m:val="p"/>
            </m:rPr>
            <m:t>=</m:t>
          </m:r>
          <m:sSub>
            <m:e>
              <m:r>
                <m:t>T</m:t>
              </m:r>
            </m:e>
            <m:sub>
              <m:r>
                <m:rPr>
                  <m:nor/>
                  <m:sty m:val="p"/>
                </m:rPr>
                <m:t>sand</m:t>
              </m:r>
            </m:sub>
          </m:sSub>
          <m:r>
            <m:rPr>
              <m:sty m:val="p"/>
            </m:rPr>
            <m:t>−</m:t>
          </m:r>
          <m:sSub>
            <m:e>
              <m:r>
                <m:t>T</m:t>
              </m:r>
            </m:e>
            <m:sub>
              <m:r>
                <m:rPr>
                  <m:nor/>
                  <m:sty m:val="p"/>
                </m:rPr>
                <m:t>vand</m:t>
              </m:r>
            </m:sub>
          </m:sSub>
        </m:oMath>
      </m:oMathPara>
    </w:p>
    <w:p>
      <w:pPr>
        <w:numPr>
          <w:ilvl w:val="0"/>
          <w:numId w:val="1006"/>
        </w:numPr>
      </w:pPr>
      <w:r>
        <w:t xml:space="preserve">Lav et nyt diagram med</w:t>
      </w:r>
      <w:r>
        <w:t xml:space="preserve"> </w:t>
      </w:r>
      <m:oMath>
        <m:r>
          <m:rPr>
            <m:sty m:val="p"/>
          </m:rPr>
          <m:t>Δ</m:t>
        </m:r>
        <m:sSub>
          <m:e>
            <m:r>
              <m:t>T</m:t>
            </m:r>
          </m:e>
          <m:sub>
            <m:r>
              <m:rPr>
                <m:nor/>
                <m:sty m:val="p"/>
              </m:rPr>
              <m:t>land–hav</m:t>
            </m:r>
          </m:sub>
        </m:sSub>
      </m:oMath>
      <w:r>
        <w:t xml:space="preserve"> </w:t>
      </w:r>
      <w:r>
        <w:t xml:space="preserve">som funktion af tiden. Tegn en vandret linje ved 0 °C. Hvornår er land varmest, og hvornår er havet varmest?</w:t>
      </w:r>
    </w:p>
    <w:p>
      <w:pPr>
        <w:numPr>
          <w:ilvl w:val="0"/>
          <w:numId w:val="1006"/>
        </w:numPr>
      </w:pPr>
      <w:r>
        <w:t xml:space="preserve">Beregn for både sand og vand, hvor meget temperaturen ændrede sig om «dagen» og om «natten», og hvor hurtigt det gik:</w:t>
      </w:r>
    </w:p>
    <w:p>
      <w:pPr>
        <w:pStyle w:val="FirstParagraph"/>
      </w:pPr>
      <m:oMathPara>
        <m:oMathParaPr>
          <m:jc m:val="center"/>
        </m:oMathParaPr>
        <m:oMath>
          <m:r>
            <m:rPr>
              <m:sty m:val="p"/>
            </m:rPr>
            <m:t>Δ</m:t>
          </m:r>
          <m:sSub>
            <m:e>
              <m:r>
                <m:t>T</m:t>
              </m:r>
            </m:e>
            <m:sub>
              <m:r>
                <m:rPr>
                  <m:nor/>
                  <m:sty m:val="p"/>
                </m:rPr>
                <m:t>dag</m:t>
              </m:r>
            </m:sub>
          </m:sSub>
          <m:r>
            <m:rPr>
              <m:sty m:val="p"/>
            </m:rPr>
            <m:t>=</m:t>
          </m:r>
          <m:sSub>
            <m:e>
              <m:r>
                <m:t>T</m:t>
              </m:r>
            </m:e>
            <m:sub>
              <m:r>
                <m:t>15</m:t>
              </m:r>
            </m:sub>
          </m:sSub>
          <m:r>
            <m:rPr>
              <m:sty m:val="p"/>
            </m:rPr>
            <m:t>−</m:t>
          </m:r>
          <m:sSub>
            <m:e>
              <m:r>
                <m:t>T</m:t>
              </m:r>
            </m:e>
            <m:sub>
              <m:r>
                <m:t>0</m:t>
              </m:r>
            </m:sub>
          </m:sSub>
          <m:r>
            <m:t>  </m:t>
          </m:r>
          <m:r>
            <m:rPr>
              <m:sty m:val="p"/>
            </m:rPr>
            <m:t>Δ</m:t>
          </m:r>
          <m:sSub>
            <m:e>
              <m:r>
                <m:t>T</m:t>
              </m:r>
            </m:e>
            <m:sub>
              <m:r>
                <m:rPr>
                  <m:nor/>
                  <m:sty m:val="p"/>
                </m:rPr>
                <m:t>nat</m:t>
              </m:r>
            </m:sub>
          </m:sSub>
          <m:r>
            <m:rPr>
              <m:sty m:val="p"/>
            </m:rPr>
            <m:t>=</m:t>
          </m:r>
          <m:sSub>
            <m:e>
              <m:r>
                <m:t>T</m:t>
              </m:r>
            </m:e>
            <m:sub>
              <m:r>
                <m:t>30</m:t>
              </m:r>
            </m:sub>
          </m:sSub>
          <m:r>
            <m:rPr>
              <m:sty m:val="p"/>
            </m:rPr>
            <m:t>−</m:t>
          </m:r>
          <m:sSub>
            <m:e>
              <m:r>
                <m:t>T</m:t>
              </m:r>
            </m:e>
            <m:sub>
              <m:r>
                <m:t>15</m:t>
              </m:r>
            </m:sub>
          </m:sSub>
        </m:oMath>
      </m:oMathPara>
    </w:p>
    <w:p>
      <w:pPr>
        <w:pStyle w:val="FirstParagraph"/>
      </w:pPr>
      <m:oMathPara>
        <m:oMathParaPr>
          <m:jc m:val="center"/>
        </m:oMathParaPr>
        <m:oMath>
          <m:r>
            <m:rPr>
              <m:nor/>
              <m:sty m:val="p"/>
            </m:rPr>
            <m:t>gennemsnitlig ændring</m:t>
          </m:r>
          <m:r>
            <m:rPr>
              <m:sty m:val="p"/>
            </m:rPr>
            <m:t>=</m:t>
          </m:r>
          <m:f>
            <m:fPr>
              <m:type m:val="bar"/>
            </m:fPr>
            <m:num>
              <m:r>
                <m:rPr>
                  <m:sty m:val="p"/>
                </m:rPr>
                <m:t>Δ</m:t>
              </m:r>
              <m:r>
                <m:t>T</m:t>
              </m:r>
            </m:num>
            <m:den>
              <m:r>
                <m:t>15</m:t>
              </m:r>
              <m:r>
                <m:t> </m:t>
              </m:r>
              <m:r>
                <m:rPr>
                  <m:nor/>
                  <m:sty m:val="p"/>
                </m:rPr>
                <m:t>min</m:t>
              </m:r>
            </m:den>
          </m:f>
        </m:oMath>
      </m:oMathPara>
    </w:p>
    <w:tbl>
      <w:tblPr>
        <w:tblStyle w:val="Table"/>
        <w:tblW w:type="pct" w:w="5000"/>
        <w:tblLayout w:type="fixed"/>
        <w:tblLook w:firstRow="0" w:lastRow="0" w:firstColumn="0" w:lastColumn="0" w:noHBand="0" w:noVBand="0" w:val="0000"/>
      </w:tblPr>
      <w:tblGrid>
        <w:gridCol w:w="7920"/>
      </w:tblGrid>
      <w:tr>
        <w:tc>
          <w:tcPr/>
          <w:bookmarkStart w:id="37" w:name="tbl-2"/>
          <w:p>
            <w:pPr>
              <w:jc w:val="center"/>
            </w:pPr>
            <w:pPr>
              <w:jc w:val="left"/>
              <w:spacing w:before="200"/>
              <w:pStyle w:val="ImageCaption"/>
            </w:pPr>
            <w:r>
              <w:t xml:space="preserve">Tabel 2: Opvarmning og afkøling af sand og vand.</w:t>
            </w:r>
          </w:p>
          <w:tbl>
            <w:tblPr>
              <w:tblStyle w:val="Table"/>
              <w:tblW w:type="auto" w:w="0"/>
              <w:tblLook w:firstRow="1" w:lastRow="0" w:firstColumn="0" w:lastColumn="0" w:noHBand="0" w:noVBand="0" w:val="0020"/>
            </w:tblPr>
            <w:tblGrid>
              <w:gridCol w:w="2640"/>
              <w:gridCol w:w="2640"/>
              <w:gridCol w:w="2640"/>
            </w:tblGrid>
            <w:tr>
              <w:trPr>
                <w:cantSplit/>
                <w:tblHeader w:val="on"/>
              </w:trPr>
              <w:tc>
                <w:tcPr/>
                <w:p>
                  <w:pPr>
                    <w:pStyle w:val="Compact"/>
                    <w:keepNext/>
                  </w:pPr>
                </w:p>
              </w:tc>
              <w:tc>
                <w:tcPr/>
                <w:p>
                  <w:pPr>
                    <w:pStyle w:val="Compact"/>
                    <w:keepNext/>
                    <w:jc w:val="center"/>
                    <w:jc w:val="center"/>
                  </w:pPr>
                  <w:r>
                    <w:t xml:space="preserve">Sand</w:t>
                  </w:r>
                </w:p>
              </w:tc>
              <w:tc>
                <w:tcPr/>
                <w:p>
                  <w:pPr>
                    <w:pStyle w:val="Compact"/>
                    <w:keepNext/>
                    <w:jc w:val="center"/>
                    <w:jc w:val="center"/>
                  </w:pPr>
                  <w:r>
                    <w:t xml:space="preserve">Vand</w:t>
                  </w:r>
                </w:p>
              </w:tc>
            </w:tr>
            <w:tr>
              <w:trPr>
                <w:cantSplit/>
              </w:trPr>
              <w:tc>
                <w:tcPr/>
                <w:p>
                  <w:pPr>
                    <w:pStyle w:val="Compact"/>
                    <w:keepNext/>
                    <w:jc w:val="left"/>
                    <w:jc w:val="center"/>
                  </w:pPr>
                  <m:oMath>
                    <m:r>
                      <m:rPr>
                        <m:sty m:val="p"/>
                      </m:rPr>
                      <m:t>Δ</m:t>
                    </m:r>
                    <m:sSub>
                      <m:e>
                        <m:r>
                          <m:t>T</m:t>
                        </m:r>
                      </m:e>
                      <m:sub>
                        <m:r>
                          <m:rPr>
                            <m:nor/>
                            <m:sty m:val="p"/>
                          </m:rPr>
                          <m:t>dag</m:t>
                        </m:r>
                      </m:sub>
                    </m:sSub>
                  </m:oMath>
                  <w:r>
                    <w:t xml:space="preserve"> </w:t>
                  </w:r>
                  <w:r>
                    <w:t xml:space="preserve">(°C)</w:t>
                  </w:r>
                </w:p>
              </w:tc>
              <w:tc>
                <w:tcPr/>
                <w:p>
                  <w:pPr>
                    <w:pStyle w:val="Compact"/>
                    <w:keepNext/>
                  </w:pPr>
                </w:p>
              </w:tc>
              <w:tc>
                <w:tcPr/>
                <w:p>
                  <w:pPr>
                    <w:pStyle w:val="Compact"/>
                    <w:keepNext/>
                  </w:pPr>
                </w:p>
              </w:tc>
            </w:tr>
            <w:tr>
              <w:trPr>
                <w:cantSplit/>
              </w:trPr>
              <w:tc>
                <w:tcPr/>
                <w:p>
                  <w:pPr>
                    <w:pStyle w:val="Compact"/>
                    <w:keepNext/>
                    <w:jc w:val="left"/>
                    <w:jc w:val="center"/>
                  </w:pPr>
                  <w:r>
                    <w:t xml:space="preserve">Opvarmning (°C/min)</w:t>
                  </w:r>
                </w:p>
              </w:tc>
              <w:tc>
                <w:tcPr/>
                <w:p>
                  <w:pPr>
                    <w:pStyle w:val="Compact"/>
                    <w:keepNext/>
                  </w:pPr>
                </w:p>
              </w:tc>
              <w:tc>
                <w:tcPr/>
                <w:p>
                  <w:pPr>
                    <w:pStyle w:val="Compact"/>
                    <w:keepNext/>
                  </w:pPr>
                </w:p>
              </w:tc>
            </w:tr>
            <w:tr>
              <w:trPr>
                <w:cantSplit/>
              </w:trPr>
              <w:tc>
                <w:tcPr/>
                <w:p>
                  <w:pPr>
                    <w:pStyle w:val="Compact"/>
                    <w:keepNext/>
                    <w:jc w:val="left"/>
                    <w:jc w:val="center"/>
                  </w:pPr>
                  <m:oMath>
                    <m:r>
                      <m:rPr>
                        <m:sty m:val="p"/>
                      </m:rPr>
                      <m:t>Δ</m:t>
                    </m:r>
                    <m:sSub>
                      <m:e>
                        <m:r>
                          <m:t>T</m:t>
                        </m:r>
                      </m:e>
                      <m:sub>
                        <m:r>
                          <m:rPr>
                            <m:nor/>
                            <m:sty m:val="p"/>
                          </m:rPr>
                          <m:t>nat</m:t>
                        </m:r>
                      </m:sub>
                    </m:sSub>
                  </m:oMath>
                  <w:r>
                    <w:t xml:space="preserve"> </w:t>
                  </w:r>
                  <w:r>
                    <w:t xml:space="preserve">(°C)</w:t>
                  </w:r>
                </w:p>
              </w:tc>
              <w:tc>
                <w:tcPr/>
                <w:p>
                  <w:pPr>
                    <w:pStyle w:val="Compact"/>
                    <w:keepNext/>
                  </w:pPr>
                </w:p>
              </w:tc>
              <w:tc>
                <w:tcPr/>
                <w:p>
                  <w:pPr>
                    <w:pStyle w:val="Compact"/>
                    <w:keepNext/>
                  </w:pPr>
                </w:p>
              </w:tc>
            </w:tr>
            <w:tr>
              <w:trPr>
                <w:cantSplit/>
              </w:trPr>
              <w:tc>
                <w:tcPr/>
                <w:p>
                  <w:pPr>
                    <w:pStyle w:val="Compact"/>
                    <w:jc w:val="left"/>
                    <w:jc w:val="center"/>
                  </w:pPr>
                  <w:r>
                    <w:t xml:space="preserve">Afkøling (°C/min)</w:t>
                  </w:r>
                </w:p>
              </w:tc>
              <w:tc>
                <w:tcPr/>
                <w:p>
                  <w:pPr>
                    <w:pStyle w:val="Compact"/>
                  </w:pPr>
                </w:p>
              </w:tc>
              <w:tc>
                <w:tcPr/>
                <w:p>
                  <w:pPr>
                    <w:pStyle w:val="Compact"/>
                  </w:pPr>
                </w:p>
              </w:tc>
            </w:tr>
          </w:tbl>
          <w:bookmarkEnd w:id="37"/>
          <w:p/>
        </w:tc>
      </w:tr>
    </w:tbl>
    <w:p>
      <w:pPr>
        <w:pStyle w:val="Compact"/>
        <w:numPr>
          <w:ilvl w:val="0"/>
          <w:numId w:val="1007"/>
        </w:numPr>
      </w:pPr>
      <w:r>
        <w:t xml:space="preserve">Sammenlign med jeres hypotese og med en anden gruppes resultater. Fik I den samme forskel mellem sand og vand?</w:t>
      </w:r>
    </w:p>
    <w:bookmarkEnd w:id="38"/>
    <w:bookmarkStart w:id="39" w:name="journalspørgsmål"/>
    <w:p>
      <w:pPr>
        <w:pStyle w:val="Heading2"/>
      </w:pPr>
      <w:r>
        <w:t xml:space="preserve">Journalspørgsmål</w:t>
      </w:r>
    </w:p>
    <w:p>
      <w:pPr>
        <w:pStyle w:val="Compact"/>
        <w:numPr>
          <w:ilvl w:val="0"/>
          <w:numId w:val="1008"/>
        </w:numPr>
      </w:pPr>
      <w:r>
        <w:t xml:space="preserve">Hvad blev hurtigst varmt, og hvad blev hurtigst koldt igen? Forklar forskellen med begreberne specifik varmekapacitet, opblanding og fordampning.</w:t>
      </w:r>
    </w:p>
    <w:p>
      <w:pPr>
        <w:pStyle w:val="Compact"/>
        <w:numPr>
          <w:ilvl w:val="0"/>
          <w:numId w:val="1008"/>
        </w:numPr>
      </w:pPr>
      <w:r>
        <w:t xml:space="preserve">Tegn en skitse af kysten midt på eftermiddagen og en af kysten om natten. Markér termisk højtryk (H) og lavtryk (L) ved jordoverfladen, og tegn pile for luftens bevægelse — både ved jorden og oppe i luften.</w:t>
      </w:r>
    </w:p>
    <w:p>
      <w:pPr>
        <w:pStyle w:val="Compact"/>
        <w:numPr>
          <w:ilvl w:val="0"/>
          <w:numId w:val="1008"/>
        </w:numPr>
      </w:pPr>
      <w:r>
        <w:t xml:space="preserve">Brug jeres diagram over</w:t>
      </w:r>
      <w:r>
        <w:t xml:space="preserve"> </w:t>
      </w:r>
      <m:oMath>
        <m:r>
          <m:rPr>
            <m:sty m:val="p"/>
          </m:rPr>
          <m:t>Δ</m:t>
        </m:r>
        <m:sSub>
          <m:e>
            <m:r>
              <m:t>T</m:t>
            </m:r>
          </m:e>
          <m:sub>
            <m:r>
              <m:rPr>
                <m:nor/>
                <m:sty m:val="p"/>
              </m:rPr>
              <m:t>land–hav</m:t>
            </m:r>
          </m:sub>
        </m:sSub>
      </m:oMath>
      <w:r>
        <w:t xml:space="preserve">: hvornår i jeres «døgn» ville der blæse søbrise, og hvornår landbrise? Passede det med, hvornår lampen var tændt og slukket?</w:t>
      </w:r>
    </w:p>
    <w:p>
      <w:pPr>
        <w:pStyle w:val="Compact"/>
        <w:numPr>
          <w:ilvl w:val="0"/>
          <w:numId w:val="1008"/>
        </w:numPr>
      </w:pPr>
      <w:r>
        <w:t xml:space="preserve">Landbrisen er i virkeligheden ofte svagere end søbrisen. Hvordan kan jeres målinger forklare det? Se på, hvor stor temperaturforskellen blev om «dagen» og om «natten».</w:t>
      </w:r>
    </w:p>
    <w:p>
      <w:pPr>
        <w:pStyle w:val="Compact"/>
        <w:numPr>
          <w:ilvl w:val="0"/>
          <w:numId w:val="1008"/>
        </w:numPr>
      </w:pPr>
      <w:r>
        <w:t xml:space="preserve">Hvilke fejlkilder har forsøget? Tænk fx på, at IR-termometeret kun måler overfladen, at lampen måske ikke lyser lige meget på begge skåle, og at vandet kan fordampe.</w:t>
      </w:r>
    </w:p>
    <w:p>
      <w:pPr>
        <w:pStyle w:val="Compact"/>
        <w:numPr>
          <w:ilvl w:val="0"/>
          <w:numId w:val="1008"/>
        </w:numPr>
      </w:pPr>
      <w:r>
        <w:t xml:space="preserve">Hvilke forskelle er der mellem forsøget og en rigtig kyst? Tænk på solens højde i løbet af dagen, skyer, havets dybde og strømme, og at vi måler på overfladerne og ikke på luften over dem.</w:t>
      </w:r>
    </w:p>
    <w:p>
      <w:pPr>
        <w:pStyle w:val="Compact"/>
        <w:numPr>
          <w:ilvl w:val="0"/>
          <w:numId w:val="1008"/>
        </w:numPr>
      </w:pPr>
      <w:r>
        <w:t xml:space="preserve">Monsunen er en slags sø- og landbrise i stor skala. Forklar, hvorfor vinden i Sydasien blæser fra havet ind over land om sommeren og fra land ud mod havet om vinteren — og hvorfor det har stor betydning for landbruget.</w:t>
      </w:r>
    </w:p>
    <w:bookmarkEnd w:id="39"/>
    <w:bookmarkStart w:id="40" w:name="om-denne-udgave"/>
    <w:p>
      <w:pPr>
        <w:pStyle w:val="Heading2"/>
      </w:pPr>
      <w:r>
        <w:t xml:space="preserve">Om denne udgave</w:t>
      </w:r>
    </w:p>
    <w:p>
      <w:pPr>
        <w:pStyle w:val="FirstParagraph"/>
      </w:pPr>
      <w:r>
        <w:t xml:space="preserve">Bygger på «Forsøgsvejledning_Sø_og_Landbrise.docx» fra Geolink (naturgeografi C; kopi i Undervisningsmateriale Katalog/Geolink/Øvelser) og på den forenklede NF-udgave «Øvelsesvejledning – Sø- og landbrise» fra NF-forløbet</w:t>
      </w:r>
      <w:r>
        <w:t xml:space="preserve"> </w:t>
      </w:r>
      <w:r>
        <w:rPr>
          <w:i/>
          <w:iCs/>
        </w:rPr>
        <w:t xml:space="preserve">Mad til milliarder</w:t>
      </w:r>
      <w:r>
        <w:t xml:space="preserve"> </w:t>
      </w:r>
      <w:r>
        <w:t xml:space="preserve">2025/26, hvis opdeling i «dag» og «nat» og spørgsmål om forudsigelse er ført videre. Opstillingen (sand, vand, arkitektlampe 20 cm over, målinger hvert 3. minut) er uændret. Ændret i forhold til originalen:</w:t>
      </w:r>
    </w:p>
    <w:p>
      <w:pPr>
        <w:pStyle w:val="Compact"/>
        <w:numPr>
          <w:ilvl w:val="0"/>
          <w:numId w:val="1009"/>
        </w:numPr>
      </w:pPr>
      <w:r>
        <w:t xml:space="preserve">Originalen angav varigheden til 40 minutter, men måleskemaet og fremgangsmåden dækker 30 minutter (15 med lampe og 15 uden). Vejledningen siger nu 30 minutter.</w:t>
      </w:r>
    </w:p>
    <w:p>
      <w:pPr>
        <w:pStyle w:val="Compact"/>
        <w:numPr>
          <w:ilvl w:val="0"/>
          <w:numId w:val="1009"/>
        </w:numPr>
      </w:pPr>
      <w:r>
        <w:t xml:space="preserve">Nyt baggrundsafsnit om varmekapacitet, opblanding, fordampning og termisk tryk.</w:t>
      </w:r>
    </w:p>
    <w:p>
      <w:pPr>
        <w:pStyle w:val="Compact"/>
        <w:numPr>
          <w:ilvl w:val="0"/>
          <w:numId w:val="1009"/>
        </w:numPr>
      </w:pPr>
      <w:r>
        <w:t xml:space="preserve">Databehandlingen er udvidet med temperaturforskellen land − hav over tid og opvarmnings- og afkølingshastigheder. Originalens diskussionsspørgsmål og tegneopgave er samlet i journalspørgsmålene.</w:t>
      </w:r>
    </w:p>
    <w:p>
      <w:pPr>
        <w:pStyle w:val="Compact"/>
        <w:numPr>
          <w:ilvl w:val="0"/>
          <w:numId w:val="1009"/>
        </w:numPr>
      </w:pPr>
      <w:r>
        <w:t xml:space="preserve">Bemærkning om, at lampen skal have glødepære eller halogenpære.</w:t>
      </w:r>
    </w:p>
    <w:bookmarkEnd w:id="40"/>
    <w:sectPr>
      <w:headerReference r:id="rId7" w:type="default"/>
      <w:footerReference r:id="rId8" w:type="default"/>
      <w:pgSz w:h="16838" w:orient="portrait" w:w="11906"/>
      <w:pgMar w:bottom="1224" w:footer="500" w:gutter="0" w:header="500" w:left="1152" w:right="1152" w:top="1224"/>
      <w:pgNumType/>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http://schemas.openxmlformats.org/wordprocessingml/2006/main">
  <w:p>
    <w:pPr>
      <w:pBdr>
        <w:top w:val="single" w:color="A9BBA1" w:sz="4" w:space="6"/>
      </w:pBdr>
      <w:tabs>
        <w:tab w:val="right" w:pos="9026"/>
      </w:tabs>
    </w:pPr>
    <w:r>
      <w:rPr>
        <w:rFonts w:ascii="Calibri" w:cs="Calibri" w:eastAsia="Calibri" w:hAnsi="Calibri"/>
        <w:i/>
        <w:iCs/>
        <w:color w:val="6B7A66"/>
        <w:sz w:val="16"/>
        <w:szCs w:val="16"/>
      </w:rPr>
      <w:t xml:space="preserve">Øvelsesvejledning</w:t>
    </w:r>
    <w:r>
      <w:rPr>
        <w:rFonts w:ascii="Calibri" w:cs="Calibri" w:eastAsia="Calibri" w:hAnsi="Calibri"/>
      </w:rPr>
      <w:t xml:space="preserve">	</w:t>
    </w:r>
    <w:r>
      <w:rPr>
        <w:rFonts w:ascii="Calibri" w:cs="Calibri" w:eastAsia="Calibri" w:hAnsi="Calibri"/>
        <w:color w:val="6B7A66"/>
        <w:sz w:val="16"/>
        <w:szCs w:val="16"/>
      </w:rPr>
      <w:t xml:space="preserve">Side </w:t>
    </w:r>
    <w:r>
      <w:rPr>
        <w:rFonts w:ascii="Calibri" w:cs="Calibri" w:eastAsia="Calibri" w:hAnsi="Calibri"/>
        <w:color w:val="6B7A66"/>
        <w:sz w:val="16"/>
        <w:szCs w:val="16"/>
      </w:rPr>
      <w:fldChar w:fldCharType="begin"/>
      <w:instrText xml:space="preserve">PAGE</w:instrText>
      <w:fldChar w:fldCharType="separate"/>
      <w:fldChar w:fldCharType="end"/>
    </w:r>
    <w:r>
      <w:rPr>
        <w:rFonts w:ascii="Calibri" w:cs="Calibri" w:eastAsia="Calibri" w:hAnsi="Calibri"/>
        <w:color w:val="6B7A66"/>
        <w:sz w:val="16"/>
        <w:szCs w:val="16"/>
      </w:rPr>
      <w:t xml:space="preserve"> af </w:t>
    </w:r>
    <w:r>
      <w:rPr>
        <w:rFonts w:ascii="Calibri" w:cs="Calibri" w:eastAsia="Calibri" w:hAnsi="Calibri"/>
        <w:color w:val="6B7A66"/>
        <w:sz w:val="16"/>
        <w:szCs w:val="16"/>
      </w:rPr>
      <w:fldChar w:fldCharType="begin"/>
      <w:instrText xml:space="preserve">NUMPAGES</w:instrText>
      <w:fldChar w:fldCharType="separate"/>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w:p>
    <w:pPr>
      <w:pBdr>
        <w:bottom w:val="single" w:color="A9BBA1" w:sz="4" w:space="6"/>
      </w:pBdr>
      <w:tabs>
        <w:tab w:val="right" w:pos="9026"/>
      </w:tabs>
      <w:spacing w:after="0"/>
    </w:pPr>
    <w:r>
      <w:rPr>
        <w:rFonts w:ascii="Calibri" w:cs="Calibri" w:eastAsia="Calibri" w:hAnsi="Calibri"/>
        <w:b/>
        <w:bCs/>
        <w:color w:val="6B7A66"/>
        <w:spacing w:val="18"/>
        <w:sz w:val="16"/>
        <w:szCs w:val="16"/>
      </w:rPr>
      <w:t xml:space="preserve">NATURGEOGRAFI</w:t>
    </w:r>
    <w:r>
      <w:rPr>
        <w:rFonts w:ascii="Calibri" w:cs="Calibri" w:eastAsia="Calibri" w:hAnsi="Calibri"/>
      </w:rPr>
      <w:t xml:space="preserve">	</w:t>
    </w:r>
    <w:r>
      <w:rPr>
        <w:rFonts w:ascii="Calibri" w:cs="Calibri" w:eastAsia="Calibri" w:hAnsi="Calibri"/>
        <w:color w:val="6B7A66"/>
        <w:spacing w:val="10"/>
        <w:sz w:val="16"/>
        <w:szCs w:val="16"/>
      </w:rPr>
      <w:t xml:space="preserve"/>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15:restartNumberingAfterBreak="0" w:abstractNumId="1">
    <w:multiLevelType w:val="hybridMultilevel"/>
    <w:lvl w15:tentative="1" w:ilvl="0">
      <w:start w:val="1"/>
      <w:numFmt w:val="bullet"/>
      <w:lvlText w:val="●"/>
      <w:lvlJc w:val="left"/>
      <w:pPr>
        <w:ind w:hanging="360" w:left="720"/>
      </w:pPr>
    </w:lvl>
    <w:lvl w15:tentative="1" w:ilvl="1">
      <w:start w:val="1"/>
      <w:numFmt w:val="bullet"/>
      <w:lvlText w:val="○"/>
      <w:lvlJc w:val="left"/>
      <w:pPr>
        <w:ind w:hanging="360" w:left="1440"/>
      </w:pPr>
    </w:lvl>
    <w:lvl w15:tentative="1" w:ilvl="2">
      <w:start w:val="1"/>
      <w:numFmt w:val="bullet"/>
      <w:lvlText w:val="■"/>
      <w:lvlJc w:val="left"/>
      <w:pPr>
        <w:ind w:hanging="360" w:left="2160"/>
      </w:pPr>
    </w:lvl>
    <w:lvl w15:tentative="1" w:ilvl="3">
      <w:start w:val="1"/>
      <w:numFmt w:val="bullet"/>
      <w:lvlText w:val="●"/>
      <w:lvlJc w:val="left"/>
      <w:pPr>
        <w:ind w:hanging="360" w:left="2880"/>
      </w:pPr>
    </w:lvl>
    <w:lvl w15:tentative="1" w:ilvl="4">
      <w:start w:val="1"/>
      <w:numFmt w:val="bullet"/>
      <w:lvlText w:val="○"/>
      <w:lvlJc w:val="left"/>
      <w:pPr>
        <w:ind w:hanging="360" w:left="3600"/>
      </w:pPr>
    </w:lvl>
    <w:lvl w15:tentative="1" w:ilvl="5">
      <w:start w:val="1"/>
      <w:numFmt w:val="bullet"/>
      <w:lvlText w:val="■"/>
      <w:lvlJc w:val="left"/>
      <w:pPr>
        <w:ind w:hanging="360" w:left="4320"/>
      </w:pPr>
    </w:lvl>
    <w:lvl w15:tentative="1" w:ilvl="6">
      <w:start w:val="1"/>
      <w:numFmt w:val="bullet"/>
      <w:lvlText w:val="●"/>
      <w:lvlJc w:val="left"/>
      <w:pPr>
        <w:ind w:hanging="360" w:left="5040"/>
      </w:pPr>
    </w:lvl>
    <w:lvl w15:tentative="1" w:ilvl="7">
      <w:start w:val="1"/>
      <w:numFmt w:val="bullet"/>
      <w:lvlText w:val="●"/>
      <w:lvlJc w:val="left"/>
      <w:pPr>
        <w:ind w:hanging="360" w:left="5760"/>
      </w:pPr>
    </w:lvl>
    <w:lvl w15:tentative="1" w:ilvl="8">
      <w:start w:val="1"/>
      <w:numFmt w:val="bullet"/>
      <w:lvlText w:val="●"/>
      <w:lvlJc w:val="left"/>
      <w:pPr>
        <w:ind w:hanging="360" w:left="6480"/>
      </w:pPr>
    </w:lvl>
  </w:abstractNum>
  <w:abstractNum w15:restartNumberingAfterBreak="0" w:abstractNumId="2">
    <w:multiLevelType w:val="hybridMultilevel"/>
    <w:lvl w15:tentative="1" w:ilvl="0">
      <w:start w:val="1"/>
      <w:numFmt w:val="decimal"/>
      <w:lvlText w:val="%1."/>
      <w:lvlJc w:val="start"/>
      <w:pPr>
        <w:ind w:hanging="300" w:left="420"/>
      </w:pPr>
    </w:lvl>
  </w:abstractNum>
  <w:abstractNum w15:restartNumberingAfterBreak="0" w:abstractNumId="3">
    <w:multiLevelType w:val="hybridMultilevel"/>
    <w:lvl w15:tentative="1" w:ilvl="0">
      <w:start w:val="1"/>
      <w:numFmt w:val="bullet"/>
      <w:lvlText w:val="–"/>
      <w:lvlJc w:val="start"/>
      <w:pPr>
        <w:ind w:hanging="200" w:left="3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displayBackgroundShape/>
  <w:embedSystemFonts/>
  <w:proofState w:grammar="clean" w:spelling="clean"/>
  <w:stylePaneFormatFilter w:val="0004"/>
  <w:doNotTrackMoves/>
  <w:defaultTabStop w:val="720"/>
  <w:evenAndOddHeaders w:val="false"/>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6332B"/>
        <w:sz w:val="22"/>
        <w:szCs w:val="22"/>
        <w:lang w:val="da"/>
      </w:rPr>
    </w:rPrDefault>
    <w:pPrDefault>
      <w:pPr>
        <w:spacing w:after="140" w:line="276" w:lineRule="auto"/>
      </w:pPr>
    </w:pPrDefault>
  </w:docDefaults>
  <w:style w:default="1" w:styleId="Normal" w:type="paragraph">
    <w:name w:val="Normal"/>
    <w:qFormat/>
  </w:style>
  <w:style w:styleId="Title" w:type="paragraph">
    <w:name w:val="Title"/>
    <w:basedOn w:val="Normal"/>
    <w:next w:val="Normal"/>
    <w:qFormat/>
    <w:pPr>
      <w:spacing w:after="80" w:before="40"/>
    </w:pPr>
    <w:rPr>
      <w:b/>
      <w:bCs/>
      <w:color w:val="2C4527"/>
      <w:sz w:val="52"/>
      <w:szCs w:val="52"/>
    </w:rPr>
  </w:style>
  <w:style w:styleId="Subtitle" w:type="paragraph">
    <w:name w:val="Subtitle"/>
    <w:basedOn w:val="Normal"/>
    <w:next w:val="Normal"/>
    <w:qFormat/>
    <w:pPr>
      <w:spacing w:after="220" w:before="0"/>
    </w:pPr>
    <w:rPr>
      <w:color w:val="6B7A66"/>
      <w:sz w:val="20"/>
    </w:rPr>
  </w:style>
  <w:style w:styleId="Heading1" w:type="paragraph">
    <w:name w:val="Heading 1"/>
    <w:basedOn w:val="Normal"/>
    <w:next w:val="Normal"/>
    <w:qFormat/>
    <w:pPr>
      <w:pBdr>
        <w:left w:color="3F5F3A" w:space="8" w:sz="18" w:val="single"/>
      </w:pBdr>
      <w:spacing w:after="140" w:before="320"/>
      <w:ind w:left="140"/>
    </w:pPr>
    <w:rPr>
      <w:b/>
      <w:bCs/>
      <w:color w:val="2C4527"/>
      <w:sz w:val="32"/>
      <w:szCs w:val="32"/>
    </w:rPr>
  </w:style>
  <w:style w:styleId="Heading2" w:type="paragraph">
    <w:name w:val="Heading 2"/>
    <w:basedOn w:val="Normal"/>
    <w:next w:val="Normal"/>
    <w:qFormat/>
    <w:pPr>
      <w:pBdr>
        <w:left w:color="3F5F3A" w:space="8" w:sz="18" w:val="single"/>
      </w:pBdr>
      <w:spacing w:after="120" w:before="300"/>
      <w:ind w:left="140"/>
    </w:pPr>
    <w:rPr>
      <w:b/>
      <w:bCs/>
      <w:color w:val="2C4527"/>
      <w:sz w:val="27"/>
      <w:szCs w:val="27"/>
    </w:rPr>
  </w:style>
  <w:style w:styleId="Heading3" w:type="paragraph">
    <w:name w:val="Heading 3"/>
    <w:basedOn w:val="Normal"/>
    <w:next w:val="Normal"/>
    <w:qFormat/>
    <w:pPr>
      <w:spacing w:after="100" w:before="200"/>
    </w:pPr>
    <w:rPr>
      <w:b/>
      <w:bCs/>
      <w:color w:val="3F5F3A"/>
      <w:sz w:val="24"/>
      <w:szCs w:val="24"/>
    </w:rPr>
  </w:style>
  <w:style w:styleId="Heading4" w:type="paragraph">
    <w:name w:val="Heading 4"/>
    <w:basedOn w:val="Normal"/>
    <w:next w:val="Normal"/>
    <w:qFormat/>
    <w:rPr>
      <w:i/>
      <w:iCs/>
      <w:color w:val="3F5F3A"/>
    </w:rPr>
  </w:style>
  <w:style w:styleId="Heading5" w:type="paragraph">
    <w:name w:val="Heading 5"/>
    <w:basedOn w:val="Normal"/>
    <w:next w:val="Normal"/>
    <w:qFormat/>
    <w:rPr>
      <w:color w:val="3F5F3A"/>
    </w:rPr>
  </w:style>
  <w:style w:styleId="Heading6" w:type="paragraph">
    <w:name w:val="Heading 6"/>
    <w:basedOn w:val="Normal"/>
    <w:next w:val="Normal"/>
    <w:qFormat/>
    <w:rPr>
      <w:color w:val="6B7A66"/>
    </w:rPr>
  </w:style>
  <w:style w:styleId="Strong" w:type="paragraph">
    <w:name w:val="Strong"/>
    <w:basedOn w:val="Normal"/>
    <w:next w:val="Normal"/>
    <w:qFormat/>
    <w:rPr>
      <w:b/>
      <w:bCs/>
    </w:rPr>
  </w:style>
  <w:style w:styleId="ListParagraph" w:type="paragraph">
    <w:name w:val="List Paragraph"/>
    <w:basedOn w:val="Normal"/>
    <w:qFormat/>
  </w:style>
  <w:style w:styleId="BodyText" w:type="paragraph">
    <w:name w:val="Body Text"/>
    <w:basedOn w:val="Normal"/>
    <w:next w:val="Normal"/>
    <w:qFormat/>
  </w:style>
  <w:style w:styleId="FirstParagraph" w:type="paragraph">
    <w:name w:val="First Paragraph"/>
    <w:basedOn w:val="Normal"/>
    <w:next w:val="Normal"/>
    <w:qFormat/>
    <w:pPr>
      <w:spacing w:before="0"/>
    </w:pPr>
  </w:style>
  <w:style w:styleId="Compact" w:type="paragraph">
    <w:name w:val="Compact"/>
    <w:basedOn w:val="ListParagraph"/>
    <w:next w:val="Compact"/>
    <w:qFormat/>
    <w:pPr>
      <w:spacing w:after="90" w:line="276" w:lineRule="auto"/>
    </w:pPr>
  </w:style>
  <w:style w:styleId="CaptionedFigure" w:type="paragraph">
    <w:name w:val="Captioned Figure"/>
    <w:basedOn w:val="Normal"/>
    <w:next w:val="Normal"/>
    <w:qFormat/>
    <w:pPr>
      <w:spacing w:after="0" w:before="120"/>
      <w:jc w:val="center"/>
    </w:pPr>
  </w:style>
  <w:style w:styleId="Caption" w:type="paragraph">
    <w:name w:val="Caption"/>
    <w:basedOn w:val="Normal"/>
    <w:next w:val="Normal"/>
    <w:qFormat/>
    <w:pPr>
      <w:spacing w:after="220" w:before="100"/>
      <w:jc w:val="center"/>
    </w:pPr>
    <w:rPr>
      <w:i/>
      <w:iCs/>
      <w:color w:val="6B7A66"/>
      <w:sz w:val="19"/>
      <w:szCs w:val="19"/>
    </w:rPr>
  </w:style>
  <w:style w:styleId="ImageCaption" w:type="paragraph">
    <w:name w:val="Image Caption"/>
    <w:basedOn w:val="Caption"/>
    <w:next w:val="Normal"/>
    <w:qFormat/>
  </w:style>
  <w:style w:styleId="Table" w:type="table">
    <w:name w:val="Table"/>
    <w:basedOn w:val="TableNormal"/>
    <w:uiPriority w:val="99"/>
    <w:pPr>
      <w:spacing w:after="0" w:line="256" w:lineRule="auto"/>
    </w:pPr>
    <w:tblPr>
      <w:tblBorders>
        <w:top w:color="8FA085" w:space="0" w:sz="4" w:val="single"/>
        <w:left w:color="8FA085" w:space="0" w:sz="4" w:val="single"/>
        <w:bottom w:color="8FA085" w:space="0" w:sz="4" w:val="single"/>
        <w:right w:color="8FA085" w:space="0" w:sz="4" w:val="single"/>
        <w:insideH w:color="C7D0C0" w:space="0" w:sz="4" w:val="single"/>
        <w:insideV w:color="C7D0C0" w:space="0" w:sz="4" w:val="single"/>
      </w:tblBorders>
    </w:tblPr>
    <w:tcPr>
      <w:tcMar>
        <w:top w:type="dxa" w:w="90"/>
        <w:left w:type="dxa" w:w="120"/>
        <w:bottom w:type="dxa" w:w="90"/>
        <w:right w:type="dxa" w:w="120"/>
      </w:tcMar>
    </w:tcPr>
  </w:style>
  <w:style w:default="1" w:styleId="TableNormal" w:type="table">
    <w:name w:val="Normal Table"/>
    <w:uiPriority w:val="99"/>
    <w:semiHidden/>
    <w:unhideWhenUsed/>
    <w:tblPr>
      <w:tblCellMar>
        <w:top w:type="dxa" w:w="0"/>
        <w:left w:type="dxa" w:w="108"/>
        <w:bottom w:type="dxa" w:w="0"/>
        <w:right w:type="dxa" w:w="108"/>
      </w:tblCellMar>
    </w:tblPr>
  </w:style>
  <w:style w:styleId="FirstRow" w:type="table">
    <w:name w:val="First Row"/>
    <w:basedOn w:val="Table"/>
    <w:uiPriority w:val="99"/>
  </w:style>
  <w:style w:styleId="Hyperlink" w:type="character">
    <w:name w:val="Hyperlink"/>
    <w:basedOn w:val="DefaultParagraphFont"/>
    <w:uiPriority w:val="99"/>
    <w:unhideWhenUsed/>
    <w:rPr>
      <w:color w:val="1F5F8B"/>
      <w:u w:val="single"/>
    </w:rPr>
  </w:style>
  <w:style w:styleId="FootnoteReference" w:type="character">
    <w:name w:val="footnote reference"/>
    <w:basedOn w:val="DefaultParagraphFont"/>
    <w:uiPriority w:val="99"/>
    <w:semiHidden/>
    <w:unhideWhenUsed/>
    <w:rPr>
      <w:vertAlign w:val="superscript"/>
    </w:rPr>
  </w:style>
  <w:style w:styleId="FootnoteText" w:type="paragraph">
    <w:name w:val="footnote text"/>
    <w:basedOn w:val="Normal"/>
    <w:link w:val="FootnoteTextChar"/>
    <w:uiPriority w:val="99"/>
    <w:semiHidden/>
    <w:unhideWhenUsed/>
    <w:pPr>
      <w:spacing w:after="0" w:line="240" w:lineRule="auto"/>
    </w:pPr>
    <w:rPr>
      <w:sz w:val="20"/>
      <w:szCs w:val="20"/>
    </w:rPr>
  </w:style>
  <w:style w:styleId="FootnoteTextChar" w:type="character">
    <w:name w:val="Footnote Text Char"/>
    <w:basedOn w:val="DefaultParagraphFont"/>
    <w:link w:val="FootnoteText"/>
    <w:uiPriority w:val="99"/>
    <w:semiHidden/>
    <w:unhideWhenUsed/>
    <w:rPr>
      <w:sz w:val="20"/>
      <w:szCs w:val="20"/>
    </w:rPr>
  </w:style>
  <w:style w:styleId="EndnoteReference" w:type="character">
    <w:name w:val="endnote reference"/>
    <w:basedOn w:val="DefaultParagraphFont"/>
    <w:uiPriority w:val="99"/>
    <w:semiHidden/>
    <w:unhideWhenUsed/>
    <w:rPr>
      <w:vertAlign w:val="superscript"/>
    </w:rPr>
  </w:style>
  <w:style w:styleId="EndnoteText" w:type="paragraph">
    <w:name w:val="endnote text"/>
    <w:basedOn w:val="Normal"/>
    <w:link w:val="EndnoteTextChar"/>
    <w:uiPriority w:val="99"/>
    <w:semiHidden/>
    <w:unhideWhenUsed/>
    <w:pPr>
      <w:spacing w:after="0" w:line="240" w:lineRule="auto"/>
    </w:pPr>
    <w:rPr>
      <w:sz w:val="20"/>
      <w:szCs w:val="20"/>
    </w:rPr>
  </w:style>
  <w:style w:styleId="EndnoteTextChar" w:type="character">
    <w:name w:val="Endnote Text Char"/>
    <w:basedOn w:val="DefaultParagraphFont"/>
    <w:link w:val="EndnoteText"/>
    <w:uiPriority w:val="99"/>
    <w:semiHidden/>
    <w:unhideWhenUsed/>
    <w:rPr>
      <w:sz w:val="20"/>
      <w:szCs w:val="20"/>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Type="http://schemas.openxmlformats.org/officeDocument/2006/relationships/numbering" Id="rId18" Target="numbering.xml" /><Relationship Type="http://schemas.openxmlformats.org/officeDocument/2006/relationships/styles" Id="rId17" Target="styles.xml" /><Relationship Type="http://schemas.openxmlformats.org/officeDocument/2006/relationships/settings" Id="rId16" Target="settings.xml" /><Relationship Type="http://schemas.openxmlformats.org/officeDocument/2006/relationships/webSettings" Id="rId15" Target="webSettings.xml" /><Relationship Type="http://schemas.openxmlformats.org/officeDocument/2006/relationships/fontTable" Id="rId14" Target="fontTable.xml" /><Relationship Type="http://schemas.openxmlformats.org/officeDocument/2006/relationships/theme" Id="rId13" Target="theme/theme1.xml" /><Relationship Type="http://schemas.openxmlformats.org/officeDocument/2006/relationships/footnotes" Id="rId12" Target="footnotes.xml" /><Relationship Type="http://schemas.openxmlformats.org/officeDocument/2006/relationships/comments" Id="rId11" Target="comments.xml" /><Relationship Id="rId7" Target="header1.xml" Type="http://schemas.openxmlformats.org/officeDocument/2006/relationships/header" /><Relationship Id="rId8" Target="footer1.xml" Type="http://schemas.openxmlformats.org/officeDocument/2006/relationships/footer" /><Relationship Id="rId9" Target="media/ff4355ab3d7b3fb047ac1bb9b81f09919282c810.png" Type="http://schemas.openxmlformats.org/officeDocument/2006/relationships/image" /><Relationship Id="rId10" Target="media/22118e1eede36edf4136c10d3e20d9ff95fafa9e.png" Type="http://schemas.openxmlformats.org/officeDocument/2006/relationships/image" /><Relationship Type="http://schemas.openxmlformats.org/officeDocument/2006/relationships/image" Id="rId21" Target="media/rId21.png" /><Relationship Type="http://schemas.openxmlformats.org/officeDocument/2006/relationships/image" Id="rId24" Target="media/rId24.png" /><Relationship Type="http://schemas.openxmlformats.org/officeDocument/2006/relationships/image" Id="rId30" Target="media/rId30.png"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 og landbrise</dc:title>
  <dc:creator/>
  <dc:language>da</dc:language>
  <cp:keywords/>
  <dcterms:created xsi:type="dcterms:W3CDTF">2026-10-14T12:51:16Z</dcterms:created>
  <dcterms:modified xsi:type="dcterms:W3CDTF">2026-10-14T12:51:16Z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doc-type">
    <vt:lpwstr>Øvelsesvejledning</vt:lpwstr>
  </property>
  <property fmtid="{D5CDD505-2E9C-101B-9397-08002B2CF9AE}" pid="4" name="fag">
    <vt:lpwstr>Naturgeografi</vt:lpwstr>
  </property>
  <property fmtid="{D5CDD505-2E9C-101B-9397-08002B2CF9AE}" pid="5" name="header-includes">
    <vt:lpwstr/>
  </property>
  <property fmtid="{D5CDD505-2E9C-101B-9397-08002B2CF9AE}" pid="6" name="hold">
    <vt:lpwstr/>
  </property>
  <property fmtid="{D5CDD505-2E9C-101B-9397-08002B2CF9AE}" pid="7" name="include-after">
    <vt:lpwstr/>
  </property>
  <property fmtid="{D5CDD505-2E9C-101B-9397-08002B2CF9AE}" pid="8" name="include-before">
    <vt:lpwstr/>
  </property>
  <property fmtid="{D5CDD505-2E9C-101B-9397-08002B2CF9AE}" pid="9" name="labels">
    <vt:lpwstr/>
  </property>
  <property fmtid="{D5CDD505-2E9C-101B-9397-08002B2CF9AE}" pid="10" name="subtitle">
    <vt:lpwstr>Hvad bliver hurtigst varmt — og hurtigst koldt igen: sand eller vand?</vt:lpwstr>
  </property>
  <property fmtid="{D5CDD505-2E9C-101B-9397-08002B2CF9AE}" pid="11" name="toc-title">
    <vt:lpwstr>Indholdsfortegnelse</vt:lpwstr>
  </property>
</Properties>
</file>