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5.png" ContentType="image/png"/>
  <Override PartName="/word/media/rId22.png" ContentType="image/png"/>
  <Override PartName="/word/media/ff4355ab3d7b3fb047ac1bb9b81f09919282c810.png" ContentType="image/png"/>
  <Override PartName="/word/media/22118e1eede36edf4136c10d3e20d9ff95fafa9e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a="http://schemas.openxmlformats.org/drawingml/2006/main" xmlns:m="http://schemas.openxmlformats.org/officeDocument/2006/math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>
  <w:body>
    <w:p>
      <w:pPr>
        <w:pStyle w:val="Title"/>
      </w:pPr>
      <w:r>
        <w:t xml:space="preserve">Porøsitet og permeabilitet — grundvand og landbrug</w:t>
      </w:r>
    </w:p>
    <w:p>
      <w:pPr>
        <w:pStyle w:val="Subtitle"/>
      </w:pPr>
      <w:r>
        <w:t xml:space="preserve">Laboratorieøvelse med databehandling</w:t>
      </w:r>
    </w:p>
    <w:p>
      <w:pPr>
        <w:pStyle w:val="FirstParagraph"/>
      </w:pPr>
      <w:r>
        <w:rPr>
          <w:b/>
          <w:bCs/>
        </w:rPr>
        <w:t xml:space="preserve">Dato:</w:t>
      </w:r>
      <w:r>
        <w:t xml:space="preserve"> </w:t>
      </w:r>
      <w:r>
        <w:t xml:space="preserve">____________________     </w:t>
      </w:r>
      <w:r>
        <w:t xml:space="preserve"> </w:t>
      </w:r>
      <w:r>
        <w:rPr>
          <w:b/>
          <w:bCs/>
        </w:rPr>
        <w:t xml:space="preserve">Gruppe / navne:</w:t>
      </w:r>
      <w:r>
        <w:t xml:space="preserve"> </w:t>
      </w:r>
      <w:r>
        <w:t xml:space="preserve">____________________________________________</w:t>
      </w:r>
    </w:p>
    <w:bookmarkStart w:id="19" w:name="om-øvelsen"/>
    <w:p>
      <w:pPr>
        <w:pStyle w:val="Heading2"/>
      </w:pPr>
      <w:r>
        <w:t xml:space="preserve">Om øvelsen</w:t>
      </w:r>
    </w:p>
    <w:p>
      <w:pPr>
        <w:pStyle w:val="FirstParagraph"/>
      </w:pPr>
      <w:r>
        <w:t xml:space="preserve">I arbejder med problemstillingen:</w:t>
      </w:r>
      <w:r>
        <w:t xml:space="preserve"> </w:t>
      </w:r>
      <w:r>
        <w:rPr>
          <w:i/>
          <w:iCs/>
        </w:rPr>
        <w:t xml:space="preserve">Hvilken betydning har jordbunden for dannelsen af grundvand og for muligheden for at dyrke afgrøder?</w:t>
      </w:r>
    </w:p>
    <w:p>
      <w:pPr>
        <w:pStyle w:val="BodyText"/>
      </w:pPr>
      <w:r>
        <w:t xml:space="preserve">Gennem forsøg med fire jordtyper — sand, podsoljord, brunjord og rødjord — undersøger I jordens evne til at lede vand igennem (permeabilitet) og til at holde på vandet (markkapacitet). Resultaterne skal I bruge til at vurdere:</w:t>
      </w:r>
    </w:p>
    <w:p>
      <w:pPr>
        <w:pStyle w:val="Compact"/>
        <w:numPr>
          <w:ilvl w:val="0"/>
          <w:numId w:val="1001"/>
        </w:numPr>
      </w:pPr>
      <w:r>
        <w:t xml:space="preserve">hvilke jordtyper der bedst sikrer grundvandsdannelse og beskytter grundvandet mod forurening,</w:t>
      </w:r>
    </w:p>
    <w:p>
      <w:pPr>
        <w:pStyle w:val="Compact"/>
        <w:numPr>
          <w:ilvl w:val="0"/>
          <w:numId w:val="1001"/>
        </w:numPr>
      </w:pPr>
      <w:r>
        <w:t xml:space="preserve">hvor egnet jorden er til landbrug — herunder om den kan holde på vandet til planternes vækst i tørre perioder.</w:t>
      </w:r>
    </w:p>
    <w:bookmarkEnd w:id="19"/>
    <w:bookmarkStart w:id="20" w:name="sedimenttyperne"/>
    <w:p>
      <w:pPr>
        <w:pStyle w:val="Heading2"/>
      </w:pPr>
      <w:r>
        <w:t xml:space="preserve">Sedimenttyperne</w:t>
      </w:r>
    </w:p>
    <w:p>
      <w:pPr>
        <w:pStyle w:val="FirstParagraph"/>
      </w:pPr>
      <w:r>
        <w:t xml:space="preserve">Inden I går i gang, skal I kende forskel på de fire sedimenter. Undersøg gerne prøverne i mikroskop eller stereolup, og notér, hvad I ser — kornstørrelse, farve og hvor ensartede kornene er.</w:t>
      </w:r>
    </w:p>
    <w:p>
      <w:pPr>
        <w:pStyle w:val="TableCaption"/>
      </w:pPr>
      <w:r>
        <w:t xml:space="preserve">Iagttagelser af de fire sedimentprøver før forsøget.</w:t>
      </w:r>
    </w:p>
    <w:tbl>
      <w:tblPr>
        <w:tblStyle w:val="Table"/>
        <w:tblW w:type="auto" w:w="0"/>
        <w:tblLook w:firstRow="1" w:lastRow="0" w:firstColumn="0" w:lastColumn="0" w:noHBand="0" w:noVBand="0" w:val="0020"/>
        <w:tblCaption w:val="Iagttagelser af de fire sedimentprøver før forsøget."/>
      </w:tblPr>
      <w:tblGrid>
        <w:gridCol w:w="3960"/>
        <w:gridCol w:w="3960"/>
      </w:tblGrid>
      <w:tr>
        <w:trPr>
          <w:cantSplit/>
          <w:tblHeader w:val="on"/>
        </w:trPr>
        <w:tc>
          <w:tcPr/>
          <w:p>
            <w:pPr>
              <w:pStyle w:val="Compact"/>
              <w:keepNext/>
              <w:jc w:val="left"/>
            </w:pPr>
            <w:r>
              <w:t xml:space="preserve">Jordtype</w:t>
            </w:r>
          </w:p>
        </w:tc>
        <w:tc>
          <w:tcPr/>
          <w:p>
            <w:pPr>
              <w:pStyle w:val="Compact"/>
              <w:keepNext/>
              <w:jc w:val="left"/>
            </w:pPr>
            <w:r>
              <w:t xml:space="preserve">Observationer (kornstørrelse, farve, ensartethed)</w:t>
            </w: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Sand</w:t>
            </w: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Podsoljord</w:t>
            </w: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Brunjord</w:t>
            </w: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Rødjord (Ghana)</w:t>
            </w:r>
          </w:p>
        </w:tc>
        <w:tc>
          <w:tcPr/>
          <w:p>
            <w:pPr>
              <w:pStyle w:val="Compact"/>
            </w:pPr>
          </w:p>
        </w:tc>
      </w:tr>
    </w:tbl>
    <w:bookmarkEnd w:id="20"/>
    <w:bookmarkStart w:id="29" w:name="fremgangsmåde"/>
    <w:p>
      <w:pPr>
        <w:pStyle w:val="Heading2"/>
      </w:pPr>
      <w:r>
        <w:t xml:space="preserve">Fremgangsmåde</w:t>
      </w:r>
    </w:p>
    <w:bookmarkStart w:id="21" w:name="fase-1-nedsivning-permeabilitet"/>
    <w:p>
      <w:pPr>
        <w:pStyle w:val="Heading3"/>
      </w:pPr>
      <w:r>
        <w:t xml:space="preserve">Fase 1: Nedsivning (permeabilitet)</w:t>
      </w:r>
    </w:p>
    <w:p>
      <w:pPr>
        <w:pStyle w:val="Compact"/>
        <w:numPr>
          <w:ilvl w:val="0"/>
          <w:numId w:val="1002"/>
        </w:numPr>
      </w:pPr>
      <w:r>
        <w:t xml:space="preserve">Knus sedimentprøven, så der ikke er store klumper.</w:t>
      </w:r>
    </w:p>
    <w:p>
      <w:pPr>
        <w:pStyle w:val="Compact"/>
        <w:numPr>
          <w:ilvl w:val="0"/>
          <w:numId w:val="1002"/>
        </w:numPr>
      </w:pPr>
      <w:r>
        <w:t xml:space="preserve">Læg et kaffefilter i tragten, og stil tragten oven på et måleglas.</w:t>
      </w:r>
    </w:p>
    <w:p>
      <w:pPr>
        <w:pStyle w:val="Compact"/>
        <w:numPr>
          <w:ilvl w:val="0"/>
          <w:numId w:val="1002"/>
        </w:numPr>
      </w:pPr>
      <w:r>
        <w:t xml:space="preserve">Afvej 50 g af sedimentprøven, og hæld den i filteret.</w:t>
      </w:r>
    </w:p>
    <w:p>
      <w:pPr>
        <w:pStyle w:val="Compact"/>
        <w:numPr>
          <w:ilvl w:val="0"/>
          <w:numId w:val="1002"/>
        </w:numPr>
      </w:pPr>
      <w:r>
        <w:t xml:space="preserve">Hæld 100 mL vand ned i tragten i én jævn bevægelse, og start stopuret samtidig.</w:t>
      </w:r>
    </w:p>
    <w:p>
      <w:pPr>
        <w:pStyle w:val="Compact"/>
        <w:numPr>
          <w:ilvl w:val="0"/>
          <w:numId w:val="1002"/>
        </w:numPr>
      </w:pPr>
      <w:r>
        <w:t xml:space="preserve">Aflæs og notér den nedsivede vandmængde på måleglasset for hvert 10. sekund. Går det meget langsomt, kan I bruge større tidsintervaller.</w:t>
      </w:r>
    </w:p>
    <w:p>
      <w:pPr>
        <w:pStyle w:val="Compact"/>
        <w:numPr>
          <w:ilvl w:val="0"/>
          <w:numId w:val="1002"/>
        </w:numPr>
      </w:pPr>
      <w:r>
        <w:t xml:space="preserve">Gentag punkt 1–5 for hver af de øvrige tre jordtyper.</w:t>
      </w:r>
    </w:p>
    <w:bookmarkEnd w:id="21"/>
    <w:bookmarkStart w:id="28" w:name="fase-2-porøsitet"/>
    <w:p>
      <w:pPr>
        <w:pStyle w:val="Heading3"/>
      </w:pPr>
      <w:r>
        <w:t xml:space="preserve">Fase 2: Porøsitet</w:t>
      </w:r>
    </w:p>
    <w:p>
      <w:pPr>
        <w:pStyle w:val="FirstParagraph"/>
      </w:pPr>
      <w:r>
        <w:t xml:space="preserve">Fase 2 kan laves sideløbende med fase 1 eller umiddelbart efter.</w:t>
      </w:r>
    </w:p>
    <w:p>
      <w:pPr>
        <w:pStyle w:val="Compact"/>
        <w:numPr>
          <w:ilvl w:val="0"/>
          <w:numId w:val="1003"/>
        </w:numPr>
      </w:pPr>
      <w:r>
        <w:t xml:space="preserve">Fyld et måleglas med 50 mL af den uknuste sedimentprøve.</w:t>
      </w:r>
    </w:p>
    <w:p>
      <w:pPr>
        <w:pStyle w:val="Compact"/>
        <w:numPr>
          <w:ilvl w:val="0"/>
          <w:numId w:val="1003"/>
        </w:numPr>
      </w:pPr>
      <w:r>
        <w:t xml:space="preserve">Afmål 50 mL vand, og hæld det ned over sedimentet.</w:t>
      </w:r>
    </w:p>
    <w:p>
      <w:pPr>
        <w:pStyle w:val="Compact"/>
        <w:numPr>
          <w:ilvl w:val="0"/>
          <w:numId w:val="1003"/>
        </w:numPr>
      </w:pPr>
      <w:r>
        <w:t xml:space="preserve">Rør vand og sediment forsigtigt sammen med rørepinden.</w:t>
      </w:r>
    </w:p>
    <w:p>
      <w:pPr>
        <w:pStyle w:val="Compact"/>
        <w:numPr>
          <w:ilvl w:val="0"/>
          <w:numId w:val="1003"/>
        </w:numPr>
      </w:pPr>
      <w:r>
        <w:t xml:space="preserve">Lad sedimentpartiklerne bundfælde sig i ca. 30 minutter.</w:t>
      </w:r>
    </w:p>
    <w:p>
      <w:pPr>
        <w:pStyle w:val="Compact"/>
        <w:numPr>
          <w:ilvl w:val="0"/>
          <w:numId w:val="1003"/>
        </w:numPr>
      </w:pPr>
      <w:r>
        <w:t xml:space="preserve">Mål, hvor stor en del af glasset der er fyldt med klart vand oven på det bundfældede sediment.</w:t>
      </w:r>
    </w:p>
    <w:p>
      <w:pPr>
        <w:pStyle w:val="FirstParagraph"/>
      </w:pPr>
      <w:r>
        <w:t xml:space="preserve">Volumen af det klare vand svarer til jordpartiklernes eget volumen (den faste masse), fordi vandet har fortrængt luften i hulrummene.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3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tip.png" id="2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Knus jordprøverne til nogenlunde samme kornstørrelse, så resultaterne kan sammenlignes retfærdigt mellem jordtyperne. Brug samme tragt og samme type filter til alle fire prøver.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6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2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Materialer (pr. gruppe)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4 sedimentprøver: sand, podsoljord, brunjord og rødjord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Måleglas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Kaffetragt og kaffefiltre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Vægt og vejeskål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Stopur eller mobiltelefon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Rørepind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Vand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Evt. morter/støder til at knuse prøverne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Evt. mikroskop eller stereolup</w:t>
            </w:r>
          </w:p>
          <w:p/>
        </w:tc>
      </w:tr>
    </w:tbl>
    <w:bookmarkEnd w:id="28"/>
    <w:bookmarkEnd w:id="29"/>
    <w:bookmarkStart w:id="32" w:name="registrering-af-resultater"/>
    <w:p>
      <w:pPr>
        <w:pStyle w:val="Heading2"/>
      </w:pPr>
      <w:r>
        <w:t xml:space="preserve">Registrering af resultater</w:t>
      </w:r>
    </w:p>
    <w:bookmarkStart w:id="30" w:name="nedsivning"/>
    <w:p>
      <w:pPr>
        <w:pStyle w:val="Heading3"/>
      </w:pPr>
      <w:r>
        <w:t xml:space="preserve">Nedsivning</w:t>
      </w:r>
    </w:p>
    <w:p>
      <w:pPr>
        <w:pStyle w:val="TableCaption"/>
      </w:pPr>
      <w:r>
        <w:t xml:space="preserve">Opsamlet vandmængde (mL) over tid for hver jordtype. Tilføj flere rækker, hvis vandet stadig siver igennem efter 60 sekunder.</w:t>
      </w:r>
    </w:p>
    <w:tbl>
      <w:tblPr>
        <w:tblStyle w:val="Table"/>
        <w:tblW w:type="auto" w:w="0"/>
        <w:tblLook w:firstRow="1" w:lastRow="0" w:firstColumn="0" w:lastColumn="0" w:noHBand="0" w:noVBand="0" w:val="0020"/>
        <w:tblCaption w:val="Opsamlet vandmængde (mL) over tid for hver jordtype. Tilføj flere rækker, hvis vandet stadig siver igennem efter 60 sekunder."/>
      </w:tblPr>
      <w:tblGrid>
        <w:gridCol w:w="1584"/>
        <w:gridCol w:w="1584"/>
        <w:gridCol w:w="1584"/>
        <w:gridCol w:w="1584"/>
        <w:gridCol w:w="1584"/>
      </w:tblGrid>
      <w:tr>
        <w:trPr>
          <w:cantSplit/>
          <w:tblHeader w:val="on"/>
        </w:trPr>
        <w:tc>
          <w:tcPr/>
          <w:p>
            <w:pPr>
              <w:pStyle w:val="Compact"/>
              <w:keepNext/>
              <w:jc w:val="left"/>
            </w:pPr>
            <w:r>
              <w:t xml:space="preserve">Tid (sek.)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Sand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Podsoljord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Brunjord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Rødjord</w:t>
            </w: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Slut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0"/>
    <w:bookmarkStart w:id="31" w:name="porøsitet"/>
    <w:p>
      <w:pPr>
        <w:pStyle w:val="Heading3"/>
      </w:pPr>
      <w:r>
        <w:t xml:space="preserve">Porøsitet</w:t>
      </w:r>
    </w:p>
    <w:p>
      <w:pPr>
        <w:pStyle w:val="TableCaption"/>
      </w:pPr>
      <w:r>
        <w:t xml:space="preserve">Målt volumen af klart vand oven på det bundfældede sediment for hver jordtype.</w:t>
      </w:r>
    </w:p>
    <w:tbl>
      <w:tblPr>
        <w:tblStyle w:val="Table"/>
        <w:tblW w:type="auto" w:w="0"/>
        <w:tblLook w:firstRow="1" w:lastRow="0" w:firstColumn="0" w:lastColumn="0" w:noHBand="0" w:noVBand="0" w:val="0020"/>
        <w:tblCaption w:val="Målt volumen af klart vand oven på det bundfældede sediment for hver jordtype."/>
      </w:tblPr>
      <w:tblGrid>
        <w:gridCol w:w="1584"/>
        <w:gridCol w:w="1584"/>
        <w:gridCol w:w="1584"/>
        <w:gridCol w:w="1584"/>
        <w:gridCol w:w="1584"/>
      </w:tblGrid>
      <w:tr>
        <w:trPr>
          <w:cantSplit/>
          <w:tblHeader w:val="on"/>
        </w:trPr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Sand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Podsoljord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Brunjord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Rødjord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Volumen klart vand efter 30 min. (mL)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1"/>
    <w:bookmarkEnd w:id="32"/>
    <w:bookmarkStart w:id="36" w:name="resultatbehandling"/>
    <w:p>
      <w:pPr>
        <w:pStyle w:val="Heading2"/>
      </w:pPr>
      <w:r>
        <w:t xml:space="preserve">Resultatbehandling</w:t>
      </w:r>
    </w:p>
    <w:bookmarkStart w:id="33" w:name="opgave-1-databehandling-af-fase-1"/>
    <w:p>
      <w:pPr>
        <w:pStyle w:val="Heading3"/>
      </w:pPr>
      <w:r>
        <w:t xml:space="preserve">Opgave 1: Databehandling af fase 1</w:t>
      </w:r>
    </w:p>
    <w:p>
      <w:pPr>
        <w:pStyle w:val="FirstParagraph"/>
      </w:pPr>
      <w:r>
        <w:t xml:space="preserve">Indsæt målingerne fra fase 1 i et regneark, og lav et (x,y)-plot med tiden ud ad x-aksen og den opsamlede vandmængde op ad y-aksen. Tegn alle fire jordtyper i samme koordinatsystem, så kurverne kan sammenlignes.</w:t>
      </w:r>
    </w:p>
    <w:bookmarkEnd w:id="33"/>
    <w:bookmarkStart w:id="34" w:name="opgave-2-beregn-porøsiteten"/>
    <w:p>
      <w:pPr>
        <w:pStyle w:val="Heading3"/>
      </w:pPr>
      <w:r>
        <w:t xml:space="preserve">Opgave 2: Beregn porøsiteten</w:t>
      </w:r>
    </w:p>
    <w:p>
      <w:pPr>
        <w:pStyle w:val="FirstParagraph"/>
      </w:pPr>
      <w:r>
        <w:t xml:space="preserve">Porøsiteten angiver, hvor stor en del af jordartens volumen der i tør tilstand er fyldt med luft. Den regnes i procent: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nor/>
              <m:sty m:val="p"/>
            </m:rPr>
            <m:t>Porøsitet (%)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rPr>
                  <m:nor/>
                  <m:sty m:val="p"/>
                </m:rPr>
                <m:t>porevolumen</m:t>
              </m:r>
            </m:num>
            <m:den>
              <m:r>
                <m:rPr>
                  <m:nor/>
                  <m:sty m:val="p"/>
                </m:rPr>
                <m:t>totalvolumen</m:t>
              </m:r>
            </m:den>
          </m:f>
          <m:r>
            <m:rPr>
              <m:sty m:val="p"/>
            </m:rPr>
            <m:t>⋅</m:t>
          </m:r>
          <m:r>
            <m:t>100</m:t>
          </m:r>
        </m:oMath>
      </m:oMathPara>
    </w:p>
    <w:p>
      <w:pPr>
        <w:pStyle w:val="FirstParagraph"/>
      </w:pPr>
      <w:r>
        <w:t xml:space="preserve">Totalvolumenet er de 50 mL sediment, I startede med. Porevolumenet er den plads, vandet nu optager nede mellem kornene.</w:t>
      </w:r>
    </w:p>
    <w:p>
      <w:pPr>
        <w:pStyle w:val="TableCaption"/>
      </w:pPr>
      <w:r>
        <w:t xml:space="preserve">Beregnet porøsitet for hver af de fire jordtyper.</w:t>
      </w:r>
    </w:p>
    <w:tbl>
      <w:tblPr>
        <w:tblStyle w:val="Table"/>
        <w:tblW w:type="auto" w:w="0"/>
        <w:tblLook w:firstRow="1" w:lastRow="0" w:firstColumn="0" w:lastColumn="0" w:noHBand="0" w:noVBand="0" w:val="0020"/>
        <w:tblCaption w:val="Beregnet porøsitet for hver af de fire jordtyper."/>
      </w:tblPr>
      <w:tblGrid>
        <w:gridCol w:w="1584"/>
        <w:gridCol w:w="1584"/>
        <w:gridCol w:w="1584"/>
        <w:gridCol w:w="1584"/>
        <w:gridCol w:w="1584"/>
      </w:tblGrid>
      <w:tr>
        <w:trPr>
          <w:cantSplit/>
          <w:tblHeader w:val="on"/>
        </w:trPr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Sand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Podsoljord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Brunjord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Rødjord</w:t>
            </w: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Porevolumen (mL)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Porøsitet (%)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4"/>
    <w:bookmarkStart w:id="35" w:name="opgave-3-markkapacitet"/>
    <w:p>
      <w:pPr>
        <w:pStyle w:val="Heading3"/>
      </w:pPr>
      <w:r>
        <w:t xml:space="preserve">Opgave 3: Markkapacitet</w:t>
      </w:r>
    </w:p>
    <w:p>
      <w:pPr>
        <w:pStyle w:val="FirstParagraph"/>
      </w:pPr>
      <w:r>
        <w:t xml:space="preserve">Hvor meget vand blev holdt tilbage i prøverne i fase 1? Beregn forskellen mellem de 100 mL, I hældte på, og den mængde, der løb igennem.</w:t>
      </w:r>
    </w:p>
    <w:p>
      <w:pPr>
        <w:pStyle w:val="TableCaption"/>
      </w:pPr>
      <w:r>
        <w:t xml:space="preserve">Markkapacitet beregnet som 100 mL minus den gennemløbne vandmængde.</w:t>
      </w:r>
    </w:p>
    <w:tbl>
      <w:tblPr>
        <w:tblStyle w:val="Table"/>
        <w:tblW w:type="auto" w:w="0"/>
        <w:tblLook w:firstRow="1" w:lastRow="0" w:firstColumn="0" w:lastColumn="0" w:noHBand="0" w:noVBand="0" w:val="0020"/>
        <w:tblCaption w:val="Markkapacitet beregnet som 100 mL minus den gennemløbne vandmængde."/>
      </w:tblPr>
      <w:tblGrid>
        <w:gridCol w:w="1584"/>
        <w:gridCol w:w="1584"/>
        <w:gridCol w:w="1584"/>
        <w:gridCol w:w="1584"/>
        <w:gridCol w:w="1584"/>
      </w:tblGrid>
      <w:tr>
        <w:trPr>
          <w:cantSplit/>
          <w:tblHeader w:val="on"/>
        </w:trPr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Sand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Podsoljord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Brunjord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Rødjord</w:t>
            </w: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Vand løbet igennem (mL)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Vand tilbageholdt (mL)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5"/>
    <w:bookmarkEnd w:id="36"/>
    <w:bookmarkStart w:id="37" w:name="diskussion-og-perspektivering"/>
    <w:p>
      <w:pPr>
        <w:pStyle w:val="Heading2"/>
      </w:pPr>
      <w:r>
        <w:t xml:space="preserve">Diskussion og perspektivering</w:t>
      </w:r>
    </w:p>
    <w:p>
      <w:pPr>
        <w:pStyle w:val="FirstParagraph"/>
      </w:pPr>
      <w:r>
        <w:t xml:space="preserve">Diskutér spørgsmålene i gruppen, og skriv svarene i journalen.</w:t>
      </w:r>
    </w:p>
    <w:p>
      <w:pPr>
        <w:pStyle w:val="Compact"/>
        <w:numPr>
          <w:ilvl w:val="0"/>
          <w:numId w:val="1005"/>
        </w:numPr>
      </w:pPr>
      <w:r>
        <w:t xml:space="preserve">Hvad kan I på baggrund af resultaterne sige om de fire sedimentprøvers porøsitet og permeabilitet?</w:t>
      </w:r>
    </w:p>
    <w:p>
      <w:pPr>
        <w:pStyle w:val="Compact"/>
        <w:numPr>
          <w:ilvl w:val="0"/>
          <w:numId w:val="1005"/>
        </w:numPr>
      </w:pPr>
      <w:r>
        <w:t xml:space="preserve">Diskutér resultaterne i forhold til, hvor hurtigt grundvandet dannes, og hvor stor risikoen er for, at grundvandet forurenes.</w:t>
      </w:r>
    </w:p>
    <w:p>
      <w:pPr>
        <w:pStyle w:val="Compact"/>
        <w:numPr>
          <w:ilvl w:val="0"/>
          <w:numId w:val="1005"/>
        </w:numPr>
      </w:pPr>
      <w:r>
        <w:t xml:space="preserve">Hvilke usikkerheder og fejlkilder er der i forsøget?</w:t>
      </w:r>
    </w:p>
    <w:p>
      <w:pPr>
        <w:pStyle w:val="Compact"/>
        <w:numPr>
          <w:ilvl w:val="0"/>
          <w:numId w:val="1005"/>
        </w:numPr>
      </w:pPr>
      <w:r>
        <w:t xml:space="preserve">Hvad kan resultaterne fortælle om grundvandsdannelsen i områder med forskellige sedimenttyper?</w:t>
      </w:r>
    </w:p>
    <w:bookmarkEnd w:id="37"/>
    <w:sectPr>
      <w:headerReference r:id="rId7" w:type="default"/>
      <w:footerReference r:id="rId8" w:type="default"/>
      <w:pgSz w:h="16838" w:orient="portrait" w:w="11906"/>
      <w:pgMar w:bottom="1224" w:footer="500" w:gutter="0" w:header="500" w:left="1152" w:right="1152" w:top="1224"/>
      <w:pgNumType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="http://schemas.openxmlformats.org/wordprocessingml/2006/main">
  <w:p>
    <w:pPr>
      <w:pBdr>
        <w:top w:val="single" w:color="A9BBA1" w:sz="4" w:space="6"/>
      </w:pBdr>
      <w:tabs>
        <w:tab w:val="right" w:pos="9026"/>
      </w:tabs>
    </w:pPr>
    <w:r>
      <w:rPr>
        <w:rFonts w:ascii="Calibri" w:cs="Calibri" w:eastAsia="Calibri" w:hAnsi="Calibri"/>
        <w:i/>
        <w:iCs/>
        <w:color w:val="6B7A66"/>
        <w:sz w:val="16"/>
        <w:szCs w:val="16"/>
      </w:rPr>
      <w:t xml:space="preserve">Øvelsesvejledning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z w:val="16"/>
        <w:szCs w:val="16"/>
      </w:rPr>
      <w:t xml:space="preserve">Side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7A66"/>
        <w:sz w:val="16"/>
        <w:szCs w:val="16"/>
      </w:rPr>
      <w:t xml:space="preserve"> af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>
    <w:pPr>
      <w:pBdr>
        <w:bottom w:val="single" w:color="A9BBA1" w:sz="4" w:space="6"/>
      </w:pBdr>
      <w:tabs>
        <w:tab w:val="right" w:pos="9026"/>
      </w:tabs>
      <w:spacing w:after="0"/>
    </w:pPr>
    <w:r>
      <w:rPr>
        <w:rFonts w:ascii="Calibri" w:cs="Calibri" w:eastAsia="Calibri" w:hAnsi="Calibri"/>
        <w:b/>
        <w:bCs/>
        <w:color w:val="6B7A66"/>
        <w:spacing w:val="18"/>
        <w:sz w:val="16"/>
        <w:szCs w:val="16"/>
      </w:rPr>
      <w:t xml:space="preserve"/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pacing w:val="10"/>
        <w:sz w:val="16"/>
        <w:szCs w:val="16"/>
      </w:rPr>
      <w:t xml:space="preserve"/>
    </w:r>
  </w:p>
</w:hdr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abstractNum w15:restartNumberingAfterBreak="0" w:abstractNumId="2">
    <w:multiLevelType w:val="hybridMultilevel"/>
    <w:lvl w15:tentative="1" w:ilvl="0">
      <w:start w:val="1"/>
      <w:numFmt w:val="decimal"/>
      <w:lvlText w:val="%1."/>
      <w:lvlJc w:val="start"/>
      <w:pPr>
        <w:ind w:hanging="300" w:left="420"/>
      </w:pPr>
    </w:lvl>
  </w:abstractNum>
  <w:abstractNum w15:restartNumberingAfterBreak="0" w:abstractNumId="3">
    <w:multiLevelType w:val="hybridMultilevel"/>
    <w:lvl w15:tentative="1" w:ilvl="0">
      <w:start w:val="1"/>
      <w:numFmt w:val="bullet"/>
      <w:lvlText w:val="–"/>
      <w:lvlJc w:val="start"/>
      <w:pPr>
        <w:ind w:hanging="200" w:left="32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displayBackgroundShape/>
  <w:embedSystemFonts/>
  <w:proofState w:grammar="clean" w:spelling="clean"/>
  <w:stylePaneFormatFilter w:val="0004"/>
  <w:doNotTrackMoves/>
  <w:defaultTabStop w:val="720"/>
  <w:evenAndOddHeaders w:val="false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</w:compat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6332B"/>
        <w:sz w:val="22"/>
        <w:szCs w:val="22"/>
        <w:lang w:val="da"/>
      </w:rPr>
    </w:rPrDefault>
    <w:pPrDefault>
      <w:pPr>
        <w:spacing w:after="140" w:line="276" w:lineRule="auto"/>
      </w:pPr>
    </w:pPrDefault>
  </w:docDefaults>
  <w:style w:default="1" w:styleId="Normal" w:type="paragraph">
    <w:name w:val="Normal"/>
    <w:qFormat/>
  </w:style>
  <w:style w:styleId="Title" w:type="paragraph">
    <w:name w:val="Title"/>
    <w:basedOn w:val="Normal"/>
    <w:next w:val="Normal"/>
    <w:qFormat/>
    <w:pPr>
      <w:spacing w:after="80" w:before="40"/>
    </w:pPr>
    <w:rPr>
      <w:b/>
      <w:bCs/>
      <w:color w:val="2C4527"/>
      <w:sz w:val="52"/>
      <w:szCs w:val="52"/>
    </w:rPr>
  </w:style>
  <w:style w:styleId="Subtitle" w:type="paragraph">
    <w:name w:val="Subtitle"/>
    <w:basedOn w:val="Normal"/>
    <w:next w:val="Normal"/>
    <w:qFormat/>
    <w:pPr>
      <w:spacing w:after="220" w:before="0"/>
    </w:pPr>
    <w:rPr>
      <w:color w:val="6B7A66"/>
      <w:sz w:val="20"/>
    </w:rPr>
  </w:style>
  <w:style w:styleId="Heading1" w:type="paragraph">
    <w:name w:val="Heading 1"/>
    <w:basedOn w:val="Normal"/>
    <w:next w:val="Normal"/>
    <w:qFormat/>
    <w:pPr>
      <w:pBdr>
        <w:left w:color="3F5F3A" w:space="8" w:sz="18" w:val="single"/>
      </w:pBdr>
      <w:spacing w:after="140" w:before="320"/>
      <w:ind w:left="140"/>
    </w:pPr>
    <w:rPr>
      <w:b/>
      <w:bCs/>
      <w:color w:val="2C4527"/>
      <w:sz w:val="32"/>
      <w:szCs w:val="32"/>
    </w:rPr>
  </w:style>
  <w:style w:styleId="Heading2" w:type="paragraph">
    <w:name w:val="Heading 2"/>
    <w:basedOn w:val="Normal"/>
    <w:next w:val="Normal"/>
    <w:qFormat/>
    <w:pPr>
      <w:pBdr>
        <w:left w:color="3F5F3A" w:space="8" w:sz="18" w:val="single"/>
      </w:pBdr>
      <w:spacing w:after="120" w:before="300"/>
      <w:ind w:left="140"/>
    </w:pPr>
    <w:rPr>
      <w:b/>
      <w:bCs/>
      <w:color w:val="2C4527"/>
      <w:sz w:val="27"/>
      <w:szCs w:val="27"/>
    </w:rPr>
  </w:style>
  <w:style w:styleId="Heading3" w:type="paragraph">
    <w:name w:val="Heading 3"/>
    <w:basedOn w:val="Normal"/>
    <w:next w:val="Normal"/>
    <w:qFormat/>
    <w:pPr>
      <w:spacing w:after="100" w:before="200"/>
    </w:pPr>
    <w:rPr>
      <w:b/>
      <w:bCs/>
      <w:color w:val="3F5F3A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3F5F3A"/>
    </w:rPr>
  </w:style>
  <w:style w:styleId="Heading5" w:type="paragraph">
    <w:name w:val="Heading 5"/>
    <w:basedOn w:val="Normal"/>
    <w:next w:val="Normal"/>
    <w:qFormat/>
    <w:rPr>
      <w:color w:val="3F5F3A"/>
    </w:rPr>
  </w:style>
  <w:style w:styleId="Heading6" w:type="paragraph">
    <w:name w:val="Heading 6"/>
    <w:basedOn w:val="Normal"/>
    <w:next w:val="Normal"/>
    <w:qFormat/>
    <w:rPr>
      <w:color w:val="6B7A66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BodyText" w:type="paragraph">
    <w:name w:val="Body Text"/>
    <w:basedOn w:val="Normal"/>
    <w:next w:val="Normal"/>
    <w:qFormat/>
  </w:style>
  <w:style w:styleId="FirstParagraph" w:type="paragraph">
    <w:name w:val="First Paragraph"/>
    <w:basedOn w:val="Normal"/>
    <w:next w:val="Normal"/>
    <w:qFormat/>
    <w:pPr>
      <w:spacing w:before="0"/>
    </w:pPr>
  </w:style>
  <w:style w:styleId="Compact" w:type="paragraph">
    <w:name w:val="Compact"/>
    <w:basedOn w:val="ListParagraph"/>
    <w:next w:val="Compact"/>
    <w:qFormat/>
    <w:pPr>
      <w:spacing w:after="90" w:line="276" w:lineRule="auto"/>
    </w:pPr>
  </w:style>
  <w:style w:styleId="CaptionedFigure" w:type="paragraph">
    <w:name w:val="Captioned Figure"/>
    <w:basedOn w:val="Normal"/>
    <w:next w:val="Normal"/>
    <w:qFormat/>
    <w:pPr>
      <w:spacing w:after="0" w:before="120"/>
      <w:jc w:val="center"/>
    </w:pPr>
  </w:style>
  <w:style w:styleId="Caption" w:type="paragraph">
    <w:name w:val="Caption"/>
    <w:basedOn w:val="Normal"/>
    <w:next w:val="Normal"/>
    <w:qFormat/>
    <w:pPr>
      <w:spacing w:after="220" w:before="100"/>
      <w:jc w:val="center"/>
    </w:pPr>
    <w:rPr>
      <w:i/>
      <w:iCs/>
      <w:color w:val="6B7A66"/>
      <w:sz w:val="19"/>
      <w:szCs w:val="19"/>
    </w:rPr>
  </w:style>
  <w:style w:styleId="ImageCaption" w:type="paragraph">
    <w:name w:val="Image Caption"/>
    <w:basedOn w:val="Caption"/>
    <w:next w:val="Normal"/>
    <w:qFormat/>
  </w:style>
  <w:style w:styleId="Table" w:type="table">
    <w:name w:val="Table"/>
    <w:basedOn w:val="TableNormal"/>
    <w:uiPriority w:val="99"/>
    <w:pPr>
      <w:spacing w:after="0" w:line="256" w:lineRule="auto"/>
    </w:pPr>
    <w:tblPr>
      <w:tblBorders>
        <w:top w:color="8FA085" w:space="0" w:sz="4" w:val="single"/>
        <w:left w:color="8FA085" w:space="0" w:sz="4" w:val="single"/>
        <w:bottom w:color="8FA085" w:space="0" w:sz="4" w:val="single"/>
        <w:right w:color="8FA085" w:space="0" w:sz="4" w:val="single"/>
        <w:insideH w:color="C7D0C0" w:space="0" w:sz="4" w:val="single"/>
        <w:insideV w:color="C7D0C0" w:space="0" w:sz="4" w:val="single"/>
      </w:tblBorders>
    </w:tblPr>
    <w:tcPr>
      <w:tcMar>
        <w:top w:type="dxa" w:w="90"/>
        <w:left w:type="dxa" w:w="120"/>
        <w:bottom w:type="dxa" w:w="90"/>
        <w:right w:type="dxa" w:w="120"/>
      </w:tcMar>
    </w:tcPr>
  </w:style>
  <w:style w:default="1" w:styleId="TableNormal" w:type="table">
    <w:name w:val="Normal Table"/>
    <w:uiPriority w:val="99"/>
    <w:semiHidden/>
    <w:unhideWhenUsed/>
    <w:tblPr>
      <w:tblCellMar>
        <w:top w:type="dxa" w:w="0"/>
        <w:left w:type="dxa" w:w="108"/>
        <w:bottom w:type="dxa" w:w="0"/>
        <w:right w:type="dxa" w:w="108"/>
      </w:tblCellMar>
    </w:tblPr>
  </w:style>
  <w:style w:styleId="FirstRow" w:type="table">
    <w:name w:val="First Row"/>
    <w:basedOn w:val="Table"/>
    <w:uiPriority w:val="99"/>
  </w:style>
  <w:style w:styleId="Hyperlink" w:type="character">
    <w:name w:val="Hyperlink"/>
    <w:basedOn w:val="DefaultParagraphFont"/>
    <w:uiPriority w:val="99"/>
    <w:unhideWhenUsed/>
    <w:rPr>
      <w:color w:val="1F5F8B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7" Target="header1.xml" Type="http://schemas.openxmlformats.org/officeDocument/2006/relationships/header" /><Relationship Id="rId8" Target="footer1.xml" Type="http://schemas.openxmlformats.org/officeDocument/2006/relationships/footer" /><Relationship Id="rId9" Target="media/ff4355ab3d7b3fb047ac1bb9b81f09919282c810.png" Type="http://schemas.openxmlformats.org/officeDocument/2006/relationships/image" /><Relationship Id="rId10" Target="media/22118e1eede36edf4136c10d3e20d9ff95fafa9e.png" Type="http://schemas.openxmlformats.org/officeDocument/2006/relationships/image" /><Relationship Type="http://schemas.openxmlformats.org/officeDocument/2006/relationships/image" Id="rId25" Target="media/rId25.png" /><Relationship Type="http://schemas.openxmlformats.org/officeDocument/2006/relationships/image" Id="rId22" Target="media/rId22.png" 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 />
</file>

<file path=word/_rels/header1.xml.rels><?xml version="1.0" encoding="UTF-8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Porøsitet og permeabilitet — grundvand og landbrug</dc:title>
  <dc:creator/>
  <dc:language>da</dc:language>
  <cp:keywords/>
  <dcterms:created xsi:type="dcterms:W3CDTF">2026-09-11T21:44:59Z</dcterms:created>
  <dcterms:modified xsi:type="dcterms:W3CDTF">2026-09-11T21:44:59Z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doc-type">
    <vt:lpwstr>Øvelsesvejledning</vt:lpwstr>
  </property>
  <property fmtid="{D5CDD505-2E9C-101B-9397-08002B2CF9AE}" pid="4" name="fag">
    <vt:lpwstr/>
  </property>
  <property fmtid="{D5CDD505-2E9C-101B-9397-08002B2CF9AE}" pid="5" name="header-includes">
    <vt:lpwstr/>
  </property>
  <property fmtid="{D5CDD505-2E9C-101B-9397-08002B2CF9AE}" pid="6" name="hold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subtitle">
    <vt:lpwstr>Laboratorieøvelse med databehandling</vt:lpwstr>
  </property>
  <property fmtid="{D5CDD505-2E9C-101B-9397-08002B2CF9AE}" pid="11" name="toc-title">
    <vt:lpwstr>Indholdsfortegnelse</vt:lpwstr>
  </property>
</Properties>
</file>