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0.png" ContentType="image/png"/>
  <Override PartName="/word/media/rId33.png" ContentType="image/png"/>
  <Override PartName="/word/media/rId20.jpg" ContentType="image/jpeg"/>
  <Override PartName="/word/media/rId26.jpg" ContentType="image/jpe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m="http://schemas.openxmlformats.org/officeDocument/2006/math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Oliens migration</w:t>
      </w:r>
    </w:p>
    <w:p>
      <w:pPr>
        <w:pStyle w:val="Subtitle"/>
      </w:pPr>
      <w:r>
        <w:t xml:space="preserve">Bjergarter, modelforsøg og perspektivering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Øvelsen er delt i tre: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Olie-geologi</w:t>
      </w:r>
      <w:r>
        <w:t xml:space="preserve"> </w:t>
      </w:r>
      <w:r>
        <w:t xml:space="preserve">— hvilke bjergarter hører til hvor i undergrunden?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Det praktiske forsøg</w:t>
      </w:r>
      <w:r>
        <w:t xml:space="preserve"> </w:t>
      </w:r>
      <w:r>
        <w:t xml:space="preserve">— oliens migration op gennem sand.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Oliens densitet</w:t>
      </w:r>
      <w:r>
        <w:t xml:space="preserve"> </w:t>
      </w:r>
      <w:r>
        <w:t xml:space="preserve">— måling af den forskel, der driver migrationen.</w:t>
      </w:r>
    </w:p>
    <w:bookmarkEnd w:id="19"/>
    <w:bookmarkStart w:id="25" w:name="del-1-olie-geologi"/>
    <w:p>
      <w:pPr>
        <w:pStyle w:val="Heading2"/>
      </w:pPr>
      <w:r>
        <w:t xml:space="preserve">Del 1: Olie-geologi</w:t>
      </w:r>
    </w:p>
    <w:p>
      <w:pPr>
        <w:pStyle w:val="FirstParagraph"/>
      </w:pPr>
      <w:r>
        <w:t xml:space="preserve">Ved oliens dannelse og migration er der forskellige bjergarter, der lægger sig forskellige steder i forhold til hinanden. Se på bjergartsstykkerne, de løse sedimenter og råolieprøven på bordet, og sammenhold dem med billederne herunder.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3" w:name="fig-bjergarter"/>
          <w:p>
            <w:pPr>
              <w:pStyle w:val="Compact"/>
              <w:jc w:val="center"/>
            </w:pPr>
            <w:r>
              <w:drawing>
                <wp:inline>
                  <wp:extent cx="6096000" cy="2849217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figurer/bjergarter.jp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849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1: De otte prøver, I har på bordet. Nummeret bruges i</w:t>
            </w:r>
            <w:r>
              <w:t xml:space="preserve"> </w:t>
            </w:r>
            <w:hyperlink w:anchor="tbl-1">
              <w:r>
                <w:rPr>
                  <w:rStyle w:val="Hyperlink"/>
                </w:rPr>
                <w:t xml:space="preserve">Tabel 1</w:t>
              </w:r>
            </w:hyperlink>
            <w:r>
              <w:t xml:space="preserve">.</w:t>
            </w:r>
          </w:p>
          <w:bookmarkEnd w:id="23"/>
        </w:tc>
      </w:tr>
    </w:tbl>
    <w:p>
      <w:pPr>
        <w:pStyle w:val="BodyText"/>
      </w:pPr>
      <w:r>
        <w:t xml:space="preserve">Placér nu prøverne i skemaet, så stratigrafien passer i forhold til oliedannelse og oliefælder. Øverste række er havbunden, og så går det nedad i undergrunden. Skriv bjergartens navn og billedets nummer, og begrund hver placering.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4" w:name="tbl-1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1: Stratigrafien fra havbunden og nedefter. Alle otte prøver skal med — to af dem kan godt høre til i samme lag.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660"/>
              <w:gridCol w:w="2451"/>
              <w:gridCol w:w="4808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Lag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Bjergart + billede nr.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Begrundelse i forhold til oliedannelse og oliefælde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Hav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1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2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3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4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5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jc w:val="center"/>
                    <w:jc w:val="center"/>
                  </w:pPr>
                  <w:r>
                    <w:t xml:space="preserve">6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24"/>
          <w:p/>
        </w:tc>
      </w:tr>
    </w:tbl>
    <w:bookmarkEnd w:id="25"/>
    <w:bookmarkStart w:id="41" w:name="del-2-praktisk-øvelse-oliens-migration"/>
    <w:p>
      <w:pPr>
        <w:pStyle w:val="Heading2"/>
      </w:pPr>
      <w:r>
        <w:t xml:space="preserve">Del 2: Praktisk øvelse — oliens migration</w:t>
      </w:r>
    </w:p>
    <w:p>
      <w:pPr>
        <w:pStyle w:val="FirstParagraph"/>
      </w:pPr>
      <w:r>
        <w:rPr>
          <w:b/>
          <w:bCs/>
        </w:rPr>
        <w:t xml:space="preserve">Formål:</w:t>
      </w:r>
      <w:r>
        <w:t xml:space="preserve"> </w:t>
      </w:r>
      <w:r>
        <w:t xml:space="preserve">at opnå viden om oliens migration og at knytte den til densitet.</w:t>
      </w:r>
    </w:p>
    <w:p>
      <w:pPr>
        <w:pStyle w:val="BodyText"/>
      </w:pPr>
      <w:r>
        <w:rPr>
          <w:b/>
          <w:bCs/>
        </w:rPr>
        <w:t xml:space="preserve">Hypotese:</w:t>
      </w:r>
      <w:r>
        <w:t xml:space="preserve"> </w:t>
      </w:r>
      <w:r>
        <w:t xml:space="preserve">Hvad forventer I vil ske, og hvorfor? Skriv det ned,</w:t>
      </w:r>
      <w:r>
        <w:t xml:space="preserve"> </w:t>
      </w:r>
      <w:r>
        <w:rPr>
          <w:b/>
          <w:bCs/>
        </w:rPr>
        <w:t xml:space="preserve">inden</w:t>
      </w:r>
      <w:r>
        <w:t xml:space="preserve"> </w:t>
      </w:r>
      <w:r>
        <w:t xml:space="preserve">I går i gang.</w:t>
      </w:r>
    </w:p>
    <w:p>
      <w:pPr>
        <w:pStyle w:val="BodyText"/>
      </w:pPr>
      <w:r>
        <w:t xml:space="preserve">________________________________________________________________________________________________</w:t>
      </w:r>
    </w:p>
    <w:p>
      <w:pPr>
        <w:pStyle w:val="BodyText"/>
      </w:pPr>
      <w:r>
        <w:t xml:space="preserve">________________________________________________________________________________________________</w:t>
      </w:r>
    </w:p>
    <w:bookmarkStart w:id="36" w:name="fremgangsmåde"/>
    <w:p>
      <w:pPr>
        <w:pStyle w:val="Heading3"/>
      </w:pPr>
      <w:r>
        <w:t xml:space="preserve">Fremgangsmåde</w:t>
      </w:r>
    </w:p>
    <w:p>
      <w:pPr>
        <w:pStyle w:val="Compact"/>
        <w:numPr>
          <w:ilvl w:val="0"/>
          <w:numId w:val="1002"/>
        </w:numPr>
      </w:pPr>
      <w:r>
        <w:t xml:space="preserve">Hæld ca. 1–2 cm madolie i bunden af glasset.</w:t>
      </w:r>
    </w:p>
    <w:p>
      <w:pPr>
        <w:pStyle w:val="Compact"/>
        <w:numPr>
          <w:ilvl w:val="0"/>
          <w:numId w:val="1002"/>
        </w:numPr>
      </w:pPr>
      <w:r>
        <w:t xml:space="preserve">Hæld sand oveni, indtil olien er dækket, og der ligger et</w:t>
      </w:r>
      <w:r>
        <w:t xml:space="preserve"> </w:t>
      </w:r>
      <w:r>
        <w:t xml:space="preserve">“rent”</w:t>
      </w:r>
      <w:r>
        <w:t xml:space="preserve"> </w:t>
      </w:r>
      <w:r>
        <w:t xml:space="preserve">sandlag øverst.</w:t>
      </w:r>
    </w:p>
    <w:p>
      <w:pPr>
        <w:pStyle w:val="Compact"/>
        <w:numPr>
          <w:ilvl w:val="0"/>
          <w:numId w:val="1002"/>
        </w:numPr>
      </w:pPr>
      <w:r>
        <w:t xml:space="preserve">Hæld til sidst forsigtigt 2–3 cm vand ned i glasset.</w:t>
      </w:r>
    </w:p>
    <w:p>
      <w:pPr>
        <w:pStyle w:val="Compact"/>
        <w:numPr>
          <w:ilvl w:val="0"/>
          <w:numId w:val="1002"/>
        </w:numPr>
      </w:pPr>
      <w:r>
        <w:t xml:space="preserve">Lad glasset stå i ca. 20–30 minutter — eller natten over.</w:t>
      </w:r>
    </w:p>
    <w:p>
      <w:pPr>
        <w:pStyle w:val="Compact"/>
        <w:numPr>
          <w:ilvl w:val="0"/>
          <w:numId w:val="1002"/>
        </w:numPr>
      </w:pPr>
      <w:r>
        <w:t xml:space="preserve">Notér, hvad I ser, både med det samme og til sidst.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9" w:name="fig-forsoget"/>
          <w:p>
            <w:pPr>
              <w:pStyle w:val="Compact"/>
              <w:jc w:val="center"/>
            </w:pPr>
            <w:r>
              <w:drawing>
                <wp:inline>
                  <wp:extent cx="6096000" cy="15240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figurer/forsoget.jp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2: Forsøget i tre trin. Efter 20–30 minutter har olien lagt sig øverst.</w:t>
            </w:r>
          </w:p>
          <w:bookmarkEnd w:id="29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Glas eller et gennemsigtigt plastikkrus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Sand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Vand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Madolie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Måleglas, 100 mL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Vægt (0,1 g eller finere)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Hæld vandet forsigtigt ned ad glassets inderside eller over en ske, så sandlaget ikke bliver rodet op. Rør ikke i glasset undervejs — olien skal selv finde vej op gennem sandet.</w:t>
            </w:r>
          </w:p>
          <w:p/>
        </w:tc>
      </w:tr>
    </w:tbl>
    <w:bookmarkEnd w:id="36"/>
    <w:bookmarkStart w:id="38" w:name="iagttagelser"/>
    <w:p>
      <w:pPr>
        <w:pStyle w:val="Heading3"/>
      </w:pPr>
      <w:r>
        <w:t xml:space="preserve">Iagttagelser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7" w:name="tbl-2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2: Iagttagelser undervejs i forsøget.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2692"/>
              <w:gridCol w:w="5227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Hvornår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Hvad ser I?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Lige efter vandet er hældt i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Efter ca. 5 minutter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Efter 20–30 minutter (eller næste dag)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37"/>
          <w:p/>
        </w:tc>
      </w:tr>
    </w:tbl>
    <w:p>
      <w:pPr>
        <w:pStyle w:val="BodyText"/>
      </w:pPr>
      <w:r>
        <w:t xml:space="preserve">Tegn til sidst glasset af, som det ser ud ved forsøgets slutning, og sæt navn på lagene.</w:t>
      </w:r>
    </w:p>
    <w:bookmarkEnd w:id="38"/>
    <w:bookmarkStart w:id="39" w:name="konklusion-og-diskussion-af-resultater"/>
    <w:p>
      <w:pPr>
        <w:pStyle w:val="Heading3"/>
      </w:pPr>
      <w:r>
        <w:t xml:space="preserve">Konklusion og diskussion af resultater</w:t>
      </w:r>
    </w:p>
    <w:p>
      <w:pPr>
        <w:pStyle w:val="Compact"/>
        <w:numPr>
          <w:ilvl w:val="0"/>
          <w:numId w:val="1004"/>
        </w:numPr>
      </w:pPr>
      <w:r>
        <w:t xml:space="preserve">Beskriv, hvad I ser. Relatér derefter øvelsen til teorien om oliedannelse, migration, kildebjergarter, reservoirbjergarter og oliefælder:</w:t>
      </w:r>
      <w:r>
        <w:t xml:space="preserve"> </w:t>
      </w:r>
      <w:r>
        <w:rPr>
          <w:b/>
          <w:bCs/>
        </w:rPr>
        <w:t xml:space="preserve">hvilke af de begreber har vi i vores forsøg, og hvilke har vi ikke?</w:t>
      </w:r>
    </w:p>
    <w:p>
      <w:pPr>
        <w:pStyle w:val="Compact"/>
        <w:numPr>
          <w:ilvl w:val="0"/>
          <w:numId w:val="1004"/>
        </w:numPr>
      </w:pPr>
      <w:r>
        <w:t xml:space="preserve">Diskutér, hvilke energimæssige og miljømæssige konsekvenser det ville have haft, hvis oliens massefylde havde været større end vands. Hvor ville vores Nordsøolie så befinde sig i dag, og hvad ville det betyde for vores muligheder for at bruge den?</w:t>
      </w:r>
    </w:p>
    <w:p>
      <w:pPr>
        <w:pStyle w:val="Compact"/>
        <w:numPr>
          <w:ilvl w:val="0"/>
          <w:numId w:val="1004"/>
        </w:numPr>
      </w:pPr>
      <w:r>
        <w:t xml:space="preserve">Hvilke problemer er der forbundet med olie som energiråstof?</w:t>
      </w:r>
    </w:p>
    <w:bookmarkEnd w:id="39"/>
    <w:bookmarkStart w:id="40" w:name="fejlkilder"/>
    <w:p>
      <w:pPr>
        <w:pStyle w:val="Heading3"/>
      </w:pPr>
      <w:r>
        <w:t xml:space="preserve">Fejlkilder</w:t>
      </w:r>
    </w:p>
    <w:p>
      <w:pPr>
        <w:pStyle w:val="FirstParagraph"/>
      </w:pPr>
      <w:r>
        <w:t xml:space="preserve">Hvad er der for eksempel galt ved at bruge vegetabilsk olie frem for mineralsk olie? Find selv flere fejlkilder.</w:t>
      </w:r>
    </w:p>
    <w:bookmarkEnd w:id="40"/>
    <w:bookmarkEnd w:id="41"/>
    <w:bookmarkStart w:id="46" w:name="del-3-oliens-densitet"/>
    <w:p>
      <w:pPr>
        <w:pStyle w:val="Heading2"/>
      </w:pPr>
      <w:r>
        <w:t xml:space="preserve">Del 3: Oliens densitet</w:t>
      </w:r>
    </w:p>
    <w:p>
      <w:pPr>
        <w:pStyle w:val="FirstParagraph"/>
      </w:pPr>
      <w:r>
        <w:t xml:space="preserve">Forsøget i del 2 virker kun, fordi olien er lettere end vandet. Her sætter I tal på forskellen.</w:t>
      </w:r>
    </w:p>
    <w:bookmarkStart w:id="43" w:name="fremgangsmåde-1"/>
    <w:p>
      <w:pPr>
        <w:pStyle w:val="Heading3"/>
      </w:pPr>
      <w:r>
        <w:t xml:space="preserve">Fremgangsmåde</w:t>
      </w:r>
    </w:p>
    <w:p>
      <w:pPr>
        <w:pStyle w:val="Compact"/>
        <w:numPr>
          <w:ilvl w:val="0"/>
          <w:numId w:val="1005"/>
        </w:numPr>
      </w:pPr>
      <w:r>
        <w:t xml:space="preserve">Vej et tomt, tørt måleglas, og notér massen.</w:t>
      </w:r>
    </w:p>
    <w:p>
      <w:pPr>
        <w:pStyle w:val="Compact"/>
        <w:numPr>
          <w:ilvl w:val="0"/>
          <w:numId w:val="1005"/>
        </w:numPr>
      </w:pPr>
      <w:r>
        <w:t xml:space="preserve">Afmål præcis 100 mL vand i måleglasset, og vej det igen.</w:t>
      </w:r>
    </w:p>
    <w:p>
      <w:pPr>
        <w:pStyle w:val="Compact"/>
        <w:numPr>
          <w:ilvl w:val="0"/>
          <w:numId w:val="1005"/>
        </w:numPr>
      </w:pPr>
      <w:r>
        <w:t xml:space="preserve">Tøm og tør måleglasset — eller tag et andet, tørt måleglas af samme slags.</w:t>
      </w:r>
    </w:p>
    <w:p>
      <w:pPr>
        <w:pStyle w:val="Compact"/>
        <w:numPr>
          <w:ilvl w:val="0"/>
          <w:numId w:val="1005"/>
        </w:numPr>
      </w:pPr>
      <w:r>
        <w:t xml:space="preserve">Afmål præcis 100 mL madolie, og vej på samme måde.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2" w:name="tbl-3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3: Vejninger til bestemmelse af densiteten.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Vand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Madolie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Masse af tomt måleglas (g)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Masse af måleglas med 100 mL væske (g)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Væskens masse (g)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42"/>
          <w:p/>
        </w:tc>
      </w:tr>
    </w:tbl>
    <w:bookmarkEnd w:id="43"/>
    <w:bookmarkStart w:id="45" w:name="beregning"/>
    <w:p>
      <w:pPr>
        <w:pStyle w:val="Heading3"/>
      </w:pPr>
      <w:r>
        <w:t xml:space="preserve">Beregning</w:t>
      </w:r>
    </w:p>
    <w:p>
      <w:pPr>
        <w:pStyle w:val="FirstParagraph"/>
      </w:pPr>
      <w:r>
        <w:t xml:space="preserve">Densiteten er massen pr. rumfang. Rumfanget er de 100 mL, altså 100 cm³:</w:t>
      </w:r>
    </w:p>
    <w:p>
      <w:pPr>
        <w:pStyle w:val="BodyText"/>
      </w:pPr>
      <m:oMathPara>
        <m:oMathParaPr>
          <m:jc m:val="center"/>
        </m:oMathParaPr>
        <m:oMath>
          <m:r>
            <m:t>ρ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m</m:t>
              </m:r>
            </m:num>
            <m:den>
              <m:r>
                <m:t>V</m:t>
              </m:r>
            </m:den>
          </m:f>
        </m:oMath>
      </m:oMathPara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4" w:name="tbl-4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4: Beregnet densitet.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Vand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Madolie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Densitet (g/cm³)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44"/>
          <w:p/>
        </w:tc>
      </w:tr>
    </w:tbl>
    <w:p>
      <w:pPr>
        <w:pStyle w:val="Compact"/>
        <w:numPr>
          <w:ilvl w:val="0"/>
          <w:numId w:val="1006"/>
        </w:numPr>
      </w:pPr>
      <w:r>
        <w:t xml:space="preserve">Hvor mange procent lettere er olien end vandet?</w:t>
      </w:r>
    </w:p>
    <w:p>
      <w:pPr>
        <w:pStyle w:val="Compact"/>
        <w:numPr>
          <w:ilvl w:val="0"/>
          <w:numId w:val="1006"/>
        </w:numPr>
      </w:pPr>
      <w:r>
        <w:t xml:space="preserve">Brug tallene til at forklare, hvorfor olien i del 2 bevægede sig op gennem sandet — og hvorfor den bliver liggende øverst.</w:t>
      </w:r>
    </w:p>
    <w:p>
      <w:pPr>
        <w:pStyle w:val="Compact"/>
        <w:numPr>
          <w:ilvl w:val="0"/>
          <w:numId w:val="1006"/>
        </w:numPr>
      </w:pPr>
      <w:r>
        <w:t xml:space="preserve">Råolie fra Nordsøen har en densitet omkring 0,85 g/cm³, mens det salte porevand i undergrunden er tungere end 1,00 g/cm³. Hvad betyder den forskel for oliens vej op gennem undergrunden?</w:t>
      </w:r>
    </w:p>
    <w:bookmarkEnd w:id="45"/>
    <w:bookmarkEnd w:id="46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NATURGEOGRAFI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20" Target="media/rId20.jpg" /><Relationship Type="http://schemas.openxmlformats.org/officeDocument/2006/relationships/image" Id="rId26" Target="media/rId26.jp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Oliens migration</dc:title>
  <dc:creator/>
  <dc:language>da</dc:language>
  <cp:keywords/>
  <dcterms:created xsi:type="dcterms:W3CDTF">2026-09-13T17:35:18Z</dcterms:created>
  <dcterms:modified xsi:type="dcterms:W3CDTF">2026-09-13T17:35:18Z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Naturgeografi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Bjergarter, modelforsøg og perspektivering</vt:lpwstr>
  </property>
  <property fmtid="{D5CDD505-2E9C-101B-9397-08002B2CF9AE}" pid="11" name="toc-title">
    <vt:lpwstr>Indholdsfortegnelse</vt:lpwstr>
  </property>
</Properties>
</file>