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21.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Lokalisering af jordskælv</w:t>
      </w:r>
    </w:p>
    <w:p>
      <w:pPr>
        <w:pStyle w:val="Subtitle"/>
      </w:pPr>
      <w:r>
        <w:t xml:space="preserve">Find epicentret ud fra rigtige seismogrammer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Den 23. juni 2010 lidt over kl. 13:41 lokal tid (17:41 UTC) rystede jorden i det sydlige Québec i Canada. Skælvet kunne mærkes i Ottawa og Montréal og flere hundrede kilometer væk. Seismografer i hele regionen registrerede det. I denne øvelse får I de rigtige seismogrammer fra fire af stationerne, og ud fra dem skal I finde ud af, hvor jordskælvet skete — præcis som seismologerne gør.</w:t>
      </w:r>
    </w:p>
    <w:bookmarkEnd w:id="19"/>
    <w:bookmarkStart w:id="20" w:name="baggrund"/>
    <w:p>
      <w:pPr>
        <w:pStyle w:val="Heading2"/>
      </w:pPr>
      <w:r>
        <w:t xml:space="preserve">Baggrund</w:t>
      </w:r>
    </w:p>
    <w:p>
      <w:pPr>
        <w:pStyle w:val="FirstParagraph"/>
      </w:pPr>
      <w:r>
        <w:t xml:space="preserve">Et jordskælv sender flere slags bølger ud fra hypocentret (stedet i dybet, hvor bruddet sker). Punktet på overfladen lige over hypocentret er epicentret.</w:t>
      </w:r>
    </w:p>
    <w:p>
      <w:pPr>
        <w:pStyle w:val="Compact"/>
        <w:numPr>
          <w:ilvl w:val="0"/>
          <w:numId w:val="1001"/>
        </w:numPr>
      </w:pPr>
      <w:r>
        <w:t xml:space="preserve">P-bølger (primære bølger) er trykbølger, der svinger frem og tilbage i bølgens retning. De er hurtigst og kommer først. I jordskorpen bevæger de sig med ca. 6,2 km/s.</w:t>
      </w:r>
    </w:p>
    <w:p>
      <w:pPr>
        <w:pStyle w:val="Compact"/>
        <w:numPr>
          <w:ilvl w:val="0"/>
          <w:numId w:val="1001"/>
        </w:numPr>
      </w:pPr>
      <w:r>
        <w:t xml:space="preserve">S-bølger (sekundære bølger) er tværbølger, der svinger på tværs af bølgens retning. De er langsommere, ca. 3,65 km/s, og kommer derfor senere — men de er ofte kraftigere.</w:t>
      </w:r>
    </w:p>
    <w:p>
      <w:pPr>
        <w:pStyle w:val="FirstParagraph"/>
      </w:pPr>
      <w:r>
        <w:t xml:space="preserve">Jo længere væk stationen er, jo større bliver forspringet for P-bølgen. Tidsforskellen</w:t>
      </w:r>
      <w:r>
        <w:t xml:space="preserve"> </w:t>
      </w:r>
      <m:oMath>
        <m:r>
          <m:rPr>
            <m:sty m:val="p"/>
          </m:rPr>
          <m:t>Δ</m:t>
        </m:r>
        <m:r>
          <m:t>t</m:t>
        </m:r>
      </m:oMath>
      <w:r>
        <w:t xml:space="preserve"> </w:t>
      </w:r>
      <w:r>
        <w:t xml:space="preserve">mellem S- og P-bølgens ankomst fortæller derfor, hvor langt der er til jordskælvet. Bølgerne har tilbagelagt den samme afstand</w:t>
      </w:r>
      <w:r>
        <w:t xml:space="preserve"> </w:t>
      </w:r>
      <m:oMath>
        <m:r>
          <m:t>D</m:t>
        </m:r>
      </m:oMath>
      <w:r>
        <w:t xml:space="preserve">:</w:t>
      </w:r>
    </w:p>
    <w:p>
      <w:pPr>
        <w:pStyle w:val="BodyText"/>
      </w:pPr>
      <m:oMathPara>
        <m:oMathParaPr>
          <m:jc m:val="center"/>
        </m:oMathParaPr>
        <m:oMath>
          <m:r>
            <m:rPr>
              <m:sty m:val="p"/>
            </m:rPr>
            <m:t>Δ</m:t>
          </m:r>
          <m:r>
            <m:t>t</m:t>
          </m:r>
          <m:r>
            <m:rPr>
              <m:sty m:val="p"/>
            </m:rPr>
            <m:t>=</m:t>
          </m:r>
          <m:sSub>
            <m:e>
              <m:r>
                <m:t>t</m:t>
              </m:r>
            </m:e>
            <m:sub>
              <m:r>
                <m:t>S</m:t>
              </m:r>
            </m:sub>
          </m:sSub>
          <m:r>
            <m:rPr>
              <m:sty m:val="p"/>
            </m:rPr>
            <m:t>−</m:t>
          </m:r>
          <m:sSub>
            <m:e>
              <m:r>
                <m:t>t</m:t>
              </m:r>
            </m:e>
            <m:sub>
              <m:r>
                <m:t>P</m:t>
              </m:r>
            </m:sub>
          </m:sSub>
          <m:r>
            <m:rPr>
              <m:sty m:val="p"/>
            </m:rPr>
            <m:t>=</m:t>
          </m:r>
          <m:f>
            <m:fPr>
              <m:type m:val="bar"/>
            </m:fPr>
            <m:num>
              <m:r>
                <m:t>D</m:t>
              </m:r>
            </m:num>
            <m:den>
              <m:sSub>
                <m:e>
                  <m:r>
                    <m:t>v</m:t>
                  </m:r>
                </m:e>
                <m:sub>
                  <m:r>
                    <m:t>S</m:t>
                  </m:r>
                </m:sub>
              </m:sSub>
            </m:den>
          </m:f>
          <m:r>
            <m:rPr>
              <m:sty m:val="p"/>
            </m:rPr>
            <m:t>−</m:t>
          </m:r>
          <m:f>
            <m:fPr>
              <m:type m:val="bar"/>
            </m:fPr>
            <m:num>
              <m:r>
                <m:t>D</m:t>
              </m:r>
            </m:num>
            <m:den>
              <m:sSub>
                <m:e>
                  <m:r>
                    <m:t>v</m:t>
                  </m:r>
                </m:e>
                <m:sub>
                  <m:r>
                    <m:t>P</m:t>
                  </m:r>
                </m:sub>
              </m:sSub>
            </m:den>
          </m:f>
        </m:oMath>
      </m:oMathPara>
    </w:p>
    <w:p>
      <w:pPr>
        <w:pStyle w:val="FirstParagraph"/>
      </w:pPr>
      <w:r>
        <w:t xml:space="preserve">Løser man den for</w:t>
      </w:r>
      <w:r>
        <w:t xml:space="preserve"> </w:t>
      </w:r>
      <m:oMath>
        <m:r>
          <m:t>D</m:t>
        </m:r>
      </m:oMath>
      <w:r>
        <w:t xml:space="preserve">, får man:</w:t>
      </w:r>
    </w:p>
    <w:p>
      <w:pPr>
        <w:pStyle w:val="BodyText"/>
      </w:pPr>
      <m:oMathPara>
        <m:oMathParaPr>
          <m:jc m:val="center"/>
        </m:oMathParaPr>
        <m:oMath>
          <m:r>
            <m:t>D</m:t>
          </m:r>
          <m:r>
            <m:rPr>
              <m:sty m:val="p"/>
            </m:rPr>
            <m:t>=</m:t>
          </m:r>
          <m:r>
            <m:rPr>
              <m:sty m:val="p"/>
            </m:rPr>
            <m:t>Δ</m:t>
          </m:r>
          <m:r>
            <m:t>t</m:t>
          </m:r>
          <m:r>
            <m:rPr>
              <m:sty m:val="p"/>
            </m:rPr>
            <m:t>⋅</m:t>
          </m:r>
          <m:f>
            <m:fPr>
              <m:type m:val="bar"/>
            </m:fPr>
            <m:num>
              <m:sSub>
                <m:e>
                  <m:r>
                    <m:t>v</m:t>
                  </m:r>
                </m:e>
                <m:sub>
                  <m:r>
                    <m:t>P</m:t>
                  </m:r>
                </m:sub>
              </m:sSub>
              <m:r>
                <m:rPr>
                  <m:sty m:val="p"/>
                </m:rPr>
                <m:t>⋅</m:t>
              </m:r>
              <m:sSub>
                <m:e>
                  <m:r>
                    <m:t>v</m:t>
                  </m:r>
                </m:e>
                <m:sub>
                  <m:r>
                    <m:t>S</m:t>
                  </m:r>
                </m:sub>
              </m:sSub>
            </m:num>
            <m:den>
              <m:sSub>
                <m:e>
                  <m:r>
                    <m:t>v</m:t>
                  </m:r>
                </m:e>
                <m:sub>
                  <m:r>
                    <m:t>P</m:t>
                  </m:r>
                </m:sub>
              </m:sSub>
              <m:r>
                <m:rPr>
                  <m:sty m:val="p"/>
                </m:rPr>
                <m:t>−</m:t>
              </m:r>
              <m:sSub>
                <m:e>
                  <m:r>
                    <m:t>v</m:t>
                  </m:r>
                </m:e>
                <m:sub>
                  <m:r>
                    <m:t>S</m:t>
                  </m:r>
                </m:sub>
              </m:sSub>
            </m:den>
          </m:f>
          <m:r>
            <m:rPr>
              <m:sty m:val="p"/>
            </m:rPr>
            <m:t>=</m:t>
          </m:r>
          <m:r>
            <m:rPr>
              <m:sty m:val="p"/>
            </m:rPr>
            <m:t>Δ</m:t>
          </m:r>
          <m:r>
            <m:t>t</m:t>
          </m:r>
          <m:r>
            <m:rPr>
              <m:sty m:val="p"/>
            </m:rPr>
            <m:t>⋅</m:t>
          </m:r>
          <m:f>
            <m:fPr>
              <m:type m:val="bar"/>
            </m:fPr>
            <m:num>
              <m:r>
                <m:rPr>
                  <m:nor/>
                  <m:sty m:val="p"/>
                </m:rPr>
                <m:t>6,2</m:t>
              </m:r>
              <m:r>
                <m:rPr>
                  <m:sty m:val="p"/>
                </m:rPr>
                <m:t>⋅</m:t>
              </m:r>
              <m:r>
                <m:rPr>
                  <m:nor/>
                  <m:sty m:val="p"/>
                </m:rPr>
                <m:t>3,65</m:t>
              </m:r>
            </m:num>
            <m:den>
              <m:r>
                <m:rPr>
                  <m:nor/>
                  <m:sty m:val="p"/>
                </m:rPr>
                <m:t>6,2</m:t>
              </m:r>
              <m:r>
                <m:rPr>
                  <m:sty m:val="p"/>
                </m:rPr>
                <m:t>−</m:t>
              </m:r>
              <m:r>
                <m:rPr>
                  <m:nor/>
                  <m:sty m:val="p"/>
                </m:rPr>
                <m:t>3,65</m:t>
              </m:r>
            </m:den>
          </m:f>
          <m:r>
            <m:t> </m:t>
          </m:r>
          <m:r>
            <m:rPr>
              <m:nor/>
              <m:sty m:val="p"/>
            </m:rPr>
            <m:t>km/s</m:t>
          </m:r>
          <m:r>
            <m:rPr>
              <m:sty m:val="p"/>
            </m:rPr>
            <m:t>≈</m:t>
          </m:r>
          <m:r>
            <m:rPr>
              <m:sty m:val="p"/>
            </m:rPr>
            <m:t>Δ</m:t>
          </m:r>
          <m:r>
            <m:t>t</m:t>
          </m:r>
          <m:r>
            <m:rPr>
              <m:sty m:val="p"/>
            </m:rPr>
            <m:t>⋅</m:t>
          </m:r>
          <m:r>
            <m:rPr>
              <m:nor/>
              <m:sty m:val="p"/>
            </m:rPr>
            <m:t>8,9</m:t>
          </m:r>
          <m:r>
            <m:t> </m:t>
          </m:r>
          <m:r>
            <m:rPr>
              <m:nor/>
              <m:sty m:val="p"/>
            </m:rPr>
            <m:t>km/s</m:t>
          </m:r>
        </m:oMath>
      </m:oMathPara>
    </w:p>
    <w:p>
      <w:pPr>
        <w:pStyle w:val="FirstParagraph"/>
      </w:pPr>
      <w:r>
        <w:t xml:space="preserve">Afstanden fra én station giver en cirkel, som epicentret ligger på. Med tre stationer eller flere kan man finde det punkt, hvor cirklerne skærer hinanden.</w:t>
      </w:r>
    </w:p>
    <w:bookmarkEnd w:id="20"/>
    <w:bookmarkStart w:id="30" w:name="data"/>
    <w:p>
      <w:pPr>
        <w:pStyle w:val="Heading2"/>
      </w:pPr>
      <w:r>
        <w:t xml:space="preserve">Data</w:t>
      </w:r>
    </w:p>
    <w:p>
      <w:pPr>
        <w:pStyle w:val="FirstParagraph"/>
      </w:pPr>
      <w:hyperlink w:anchor="fig-seismogrammer">
        <w:r>
          <w:rPr>
            <w:rStyle w:val="Hyperlink"/>
          </w:rPr>
          <w:t xml:space="preserve">Figur 1</w:t>
        </w:r>
      </w:hyperlink>
      <w:r>
        <w:t xml:space="preserve"> </w:t>
      </w:r>
      <w:r>
        <w:t xml:space="preserve">viser den lodrette rystelse ved fire stationer i det canadiske seismografnet. Tiden står i UTC (verdenstid), og der er en tynd lodret streg for hvert sekund.</w:t>
      </w:r>
    </w:p>
    <w:tbl>
      <w:tblPr>
        <w:tblStyle w:val="Table"/>
        <w:tblW w:type="pct" w:w="5000"/>
        <w:tblLayout w:type="fixed"/>
        <w:tblLook w:firstRow="0" w:lastRow="0" w:firstColumn="0" w:lastColumn="0" w:noHBand="0" w:noVBand="0" w:val="0000"/>
      </w:tblPr>
      <w:tblGrid>
        <w:gridCol w:w="7920"/>
      </w:tblGrid>
      <w:tr>
        <w:tc>
          <w:tcPr/>
          <w:bookmarkStart w:id="24" w:name="fig-seismogrammer"/>
          <w:p>
            <w:pPr>
              <w:pStyle w:val="Compact"/>
              <w:jc w:val="center"/>
            </w:pPr>
            <w:r>
              <w:drawing>
                <wp:inline>
                  <wp:extent cx="6096000" cy="5418666"/>
                  <wp:effectExtent b="0" l="0" r="0" t="0"/>
                  <wp:docPr descr="" title="" id="22" name="Picture"/>
                  <a:graphic>
                    <a:graphicData uri="http://schemas.openxmlformats.org/drawingml/2006/picture">
                      <pic:pic>
                        <pic:nvPicPr>
                          <pic:cNvPr descr="figurer/seismogrammer.png" id="23" name="Picture"/>
                          <pic:cNvPicPr>
                            <a:picLocks noChangeArrowheads="1" noChangeAspect="1"/>
                          </pic:cNvPicPr>
                        </pic:nvPicPr>
                        <pic:blipFill>
                          <a:blip r:embed="rId21"/>
                          <a:stretch>
                            <a:fillRect/>
                          </a:stretch>
                        </pic:blipFill>
                        <pic:spPr bwMode="auto">
                          <a:xfrm>
                            <a:off x="0" y="0"/>
                            <a:ext cx="6096000" cy="5418666"/>
                          </a:xfrm>
                          <a:prstGeom prst="rect">
                            <a:avLst/>
                          </a:prstGeom>
                          <a:noFill/>
                          <a:ln w="9525">
                            <a:noFill/>
                            <a:headEnd/>
                            <a:tailEnd/>
                          </a:ln>
                        </pic:spPr>
                      </pic:pic>
                    </a:graphicData>
                  </a:graphic>
                </wp:inline>
              </w:drawing>
            </w:r>
          </w:p>
          <w:p>
            <w:pPr>
              <w:jc w:val="center"/>
            </w:pPr>
            <w:pPr>
              <w:jc w:val="left"/>
              <w:spacing w:before="200"/>
              <w:pStyle w:val="ImageCaption"/>
            </w:pPr>
            <w:r>
              <w:t xml:space="preserve">Figur 1: Seismogrammer for jordskælvet den 23. juni 2010, målt ved fire stationer. Lodret bevægelse, filtreret (1–10 Hz), og hvert spor er skaleret, så det fylder sin række. Data: Natural Resources Canada, Canadian National Seismograph Network.</w:t>
            </w:r>
          </w:p>
          <w:bookmarkEnd w:id="24"/>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5" w:name="tbl-1"/>
          <w:p>
            <w:pPr>
              <w:jc w:val="center"/>
            </w:pPr>
            <w:pPr>
              <w:jc w:val="left"/>
              <w:spacing w:before="200"/>
              <w:pStyle w:val="ImageCaption"/>
            </w:pPr>
            <w:r>
              <w:t xml:space="preserve">Tabel 1: Seismografstationernes placering. I Google Earth skrives fx GRQ som «46.606, -75.859» (punktum som decimaltegn og minus for vestlig længde).</w:t>
            </w:r>
          </w:p>
          <w:tbl>
            <w:tblPr>
              <w:tblStyle w:val="Table"/>
              <w:tblW w:type="auto" w:w="0"/>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Station</w:t>
                  </w:r>
                </w:p>
              </w:tc>
              <w:tc>
                <w:tcPr/>
                <w:p>
                  <w:pPr>
                    <w:pStyle w:val="Compact"/>
                    <w:keepNext/>
                    <w:jc w:val="left"/>
                    <w:jc w:val="center"/>
                  </w:pPr>
                  <w:r>
                    <w:t xml:space="preserve">Sted</w:t>
                  </w:r>
                </w:p>
              </w:tc>
              <w:tc>
                <w:tcPr/>
                <w:p>
                  <w:pPr>
                    <w:pStyle w:val="Compact"/>
                    <w:keepNext/>
                    <w:jc w:val="center"/>
                    <w:jc w:val="center"/>
                  </w:pPr>
                  <w:r>
                    <w:t xml:space="preserve">Bredde (°N)</w:t>
                  </w:r>
                </w:p>
              </w:tc>
              <w:tc>
                <w:tcPr/>
                <w:p>
                  <w:pPr>
                    <w:pStyle w:val="Compact"/>
                    <w:keepNext/>
                    <w:jc w:val="center"/>
                    <w:jc w:val="center"/>
                  </w:pPr>
                  <w:r>
                    <w:t xml:space="preserve">Længde (°V)</w:t>
                  </w:r>
                </w:p>
              </w:tc>
            </w:tr>
            <w:tr>
              <w:trPr>
                <w:cantSplit/>
              </w:trPr>
              <w:tc>
                <w:tcPr/>
                <w:p>
                  <w:pPr>
                    <w:pStyle w:val="Compact"/>
                    <w:keepNext/>
                    <w:jc w:val="center"/>
                    <w:jc w:val="center"/>
                  </w:pPr>
                  <w:r>
                    <w:t xml:space="preserve">GRQ</w:t>
                  </w:r>
                </w:p>
              </w:tc>
              <w:tc>
                <w:tcPr/>
                <w:p>
                  <w:pPr>
                    <w:pStyle w:val="Compact"/>
                    <w:keepNext/>
                    <w:jc w:val="left"/>
                    <w:jc w:val="center"/>
                  </w:pPr>
                  <w:r>
                    <w:t xml:space="preserve">Grand-Remous, Québec</w:t>
                  </w:r>
                </w:p>
              </w:tc>
              <w:tc>
                <w:tcPr/>
                <w:p>
                  <w:pPr>
                    <w:pStyle w:val="Compact"/>
                    <w:keepNext/>
                    <w:jc w:val="center"/>
                    <w:jc w:val="center"/>
                  </w:pPr>
                  <w:r>
                    <w:t xml:space="preserve">46,606</w:t>
                  </w:r>
                </w:p>
              </w:tc>
              <w:tc>
                <w:tcPr/>
                <w:p>
                  <w:pPr>
                    <w:pStyle w:val="Compact"/>
                    <w:keepNext/>
                    <w:jc w:val="center"/>
                    <w:jc w:val="center"/>
                  </w:pPr>
                  <w:r>
                    <w:t xml:space="preserve">75,859</w:t>
                  </w:r>
                </w:p>
              </w:tc>
            </w:tr>
            <w:tr>
              <w:trPr>
                <w:cantSplit/>
              </w:trPr>
              <w:tc>
                <w:tcPr/>
                <w:p>
                  <w:pPr>
                    <w:pStyle w:val="Compact"/>
                    <w:keepNext/>
                    <w:jc w:val="center"/>
                    <w:jc w:val="center"/>
                  </w:pPr>
                  <w:r>
                    <w:t xml:space="preserve">TRQ</w:t>
                  </w:r>
                </w:p>
              </w:tc>
              <w:tc>
                <w:tcPr/>
                <w:p>
                  <w:pPr>
                    <w:pStyle w:val="Compact"/>
                    <w:keepNext/>
                    <w:jc w:val="left"/>
                    <w:jc w:val="center"/>
                  </w:pPr>
                  <w:r>
                    <w:t xml:space="preserve">Mont-Tremblant, Québec</w:t>
                  </w:r>
                </w:p>
              </w:tc>
              <w:tc>
                <w:tcPr/>
                <w:p>
                  <w:pPr>
                    <w:pStyle w:val="Compact"/>
                    <w:keepNext/>
                    <w:jc w:val="center"/>
                    <w:jc w:val="center"/>
                  </w:pPr>
                  <w:r>
                    <w:t xml:space="preserve">46,218</w:t>
                  </w:r>
                </w:p>
              </w:tc>
              <w:tc>
                <w:tcPr/>
                <w:p>
                  <w:pPr>
                    <w:pStyle w:val="Compact"/>
                    <w:keepNext/>
                    <w:jc w:val="center"/>
                    <w:jc w:val="center"/>
                  </w:pPr>
                  <w:r>
                    <w:t xml:space="preserve">74,551</w:t>
                  </w:r>
                </w:p>
              </w:tc>
            </w:tr>
            <w:tr>
              <w:trPr>
                <w:cantSplit/>
              </w:trPr>
              <w:tc>
                <w:tcPr/>
                <w:p>
                  <w:pPr>
                    <w:pStyle w:val="Compact"/>
                    <w:keepNext/>
                    <w:jc w:val="center"/>
                    <w:jc w:val="center"/>
                  </w:pPr>
                  <w:r>
                    <w:t xml:space="preserve">CRLO</w:t>
                  </w:r>
                </w:p>
              </w:tc>
              <w:tc>
                <w:tcPr/>
                <w:p>
                  <w:pPr>
                    <w:pStyle w:val="Compact"/>
                    <w:keepNext/>
                    <w:jc w:val="left"/>
                    <w:jc w:val="center"/>
                  </w:pPr>
                  <w:r>
                    <w:t xml:space="preserve">Chalk River, Ontario</w:t>
                  </w:r>
                </w:p>
              </w:tc>
              <w:tc>
                <w:tcPr/>
                <w:p>
                  <w:pPr>
                    <w:pStyle w:val="Compact"/>
                    <w:keepNext/>
                    <w:jc w:val="center"/>
                    <w:jc w:val="center"/>
                  </w:pPr>
                  <w:r>
                    <w:t xml:space="preserve">46,038</w:t>
                  </w:r>
                </w:p>
              </w:tc>
              <w:tc>
                <w:tcPr/>
                <w:p>
                  <w:pPr>
                    <w:pStyle w:val="Compact"/>
                    <w:keepNext/>
                    <w:jc w:val="center"/>
                    <w:jc w:val="center"/>
                  </w:pPr>
                  <w:r>
                    <w:t xml:space="preserve">77,380</w:t>
                  </w:r>
                </w:p>
              </w:tc>
            </w:tr>
            <w:tr>
              <w:trPr>
                <w:cantSplit/>
              </w:trPr>
              <w:tc>
                <w:tcPr/>
                <w:p>
                  <w:pPr>
                    <w:pStyle w:val="Compact"/>
                    <w:jc w:val="center"/>
                    <w:jc w:val="center"/>
                  </w:pPr>
                  <w:r>
                    <w:t xml:space="preserve">KGNO</w:t>
                  </w:r>
                </w:p>
              </w:tc>
              <w:tc>
                <w:tcPr/>
                <w:p>
                  <w:pPr>
                    <w:pStyle w:val="Compact"/>
                    <w:jc w:val="left"/>
                    <w:jc w:val="center"/>
                  </w:pPr>
                  <w:r>
                    <w:t xml:space="preserve">Kingston, Ontario</w:t>
                  </w:r>
                </w:p>
              </w:tc>
              <w:tc>
                <w:tcPr/>
                <w:p>
                  <w:pPr>
                    <w:pStyle w:val="Compact"/>
                    <w:jc w:val="center"/>
                    <w:jc w:val="center"/>
                  </w:pPr>
                  <w:r>
                    <w:t xml:space="preserve">44,227</w:t>
                  </w:r>
                </w:p>
              </w:tc>
              <w:tc>
                <w:tcPr/>
                <w:p>
                  <w:pPr>
                    <w:pStyle w:val="Compact"/>
                    <w:jc w:val="center"/>
                    <w:jc w:val="center"/>
                  </w:pPr>
                  <w:r>
                    <w:t xml:space="preserve">76,493</w:t>
                  </w:r>
                </w:p>
              </w:tc>
            </w:tr>
          </w:tbl>
          <w:bookmarkEnd w:id="25"/>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tip.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Stationerne findes også som en færdig fil,</w:t>
            </w:r>
            <w:r>
              <w:t xml:space="preserve"> </w:t>
            </w:r>
            <w:hyperlink r:id="rId29">
              <w:r>
                <w:rPr>
                  <w:rStyle w:val="Hyperlink"/>
                </w:rPr>
                <w:t xml:space="preserve">seismografstationer.kml</w:t>
              </w:r>
            </w:hyperlink>
            <w:r>
              <w:t xml:space="preserve">, der kan åbnes direkte i Google Earth Pro.</w:t>
            </w:r>
          </w:p>
          <w:p/>
        </w:tc>
      </w:tr>
    </w:tbl>
    <w:bookmarkEnd w:id="30"/>
    <w:bookmarkStart w:id="31" w:name="fremgangsmåde"/>
    <w:p>
      <w:pPr>
        <w:pStyle w:val="Heading2"/>
      </w:pPr>
      <w:r>
        <w:t xml:space="preserve">Fremgangsmåde</w:t>
      </w:r>
    </w:p>
    <w:p>
      <w:pPr>
        <w:pStyle w:val="Compact"/>
        <w:numPr>
          <w:ilvl w:val="0"/>
          <w:numId w:val="1002"/>
        </w:numPr>
      </w:pPr>
      <w:r>
        <w:t xml:space="preserve">Find for hver station det tidspunkt, hvor P-bølgen ankommer: det første sted, hvor sporet begynder at svinge tydeligt. Aflæs tidspunktet så præcist som muligt (på et halvt sekund nær), og skriv det i</w:t>
      </w:r>
      <w:r>
        <w:t xml:space="preserve"> </w:t>
      </w:r>
      <w:hyperlink w:anchor="tbl-2">
        <w:r>
          <w:rPr>
            <w:rStyle w:val="Hyperlink"/>
          </w:rPr>
          <w:t xml:space="preserve">Tabel 2</w:t>
        </w:r>
      </w:hyperlink>
      <w:r>
        <w:t xml:space="preserve">.</w:t>
      </w:r>
    </w:p>
    <w:p>
      <w:pPr>
        <w:pStyle w:val="Compact"/>
        <w:numPr>
          <w:ilvl w:val="0"/>
          <w:numId w:val="1002"/>
        </w:numPr>
      </w:pPr>
      <w:r>
        <w:t xml:space="preserve">Find tidspunktet, hvor S-bølgen ankommer: det sted, hvor udsvingene pludselig bliver meget større igen. Skriv det i</w:t>
      </w:r>
      <w:r>
        <w:t xml:space="preserve"> </w:t>
      </w:r>
      <w:hyperlink w:anchor="tbl-2">
        <w:r>
          <w:rPr>
            <w:rStyle w:val="Hyperlink"/>
          </w:rPr>
          <w:t xml:space="preserve">Tabel 2</w:t>
        </w:r>
      </w:hyperlink>
      <w:r>
        <w:t xml:space="preserve">.</w:t>
      </w:r>
    </w:p>
    <w:p>
      <w:pPr>
        <w:pStyle w:val="Compact"/>
        <w:numPr>
          <w:ilvl w:val="0"/>
          <w:numId w:val="1002"/>
        </w:numPr>
      </w:pPr>
      <w:r>
        <w:t xml:space="preserve">Åbn Google Earth Pro, og sæt et mærke ved hver af de fire stationer (eller åbn kml-filen).</w:t>
      </w:r>
    </w:p>
    <w:p>
      <w:pPr>
        <w:pStyle w:val="Compact"/>
        <w:numPr>
          <w:ilvl w:val="0"/>
          <w:numId w:val="1002"/>
        </w:numPr>
      </w:pPr>
      <w:r>
        <w:t xml:space="preserve">Når I har beregnet afstandene (se databehandlingen), så tegn en cirkel om hver station: vælg linealværktøjet, fanen</w:t>
      </w:r>
      <w:r>
        <w:t xml:space="preserve"> </w:t>
      </w:r>
      <w:r>
        <w:rPr>
          <w:i/>
          <w:iCs/>
        </w:rPr>
        <w:t xml:space="preserve">Cirkel</w:t>
      </w:r>
      <w:r>
        <w:t xml:space="preserve">, sæt centrum i stationen, og træk ud, til radius svarer til den beregnede afstand.</w:t>
      </w:r>
    </w:p>
    <w:p>
      <w:pPr>
        <w:pStyle w:val="Compact"/>
        <w:numPr>
          <w:ilvl w:val="0"/>
          <w:numId w:val="1002"/>
        </w:numPr>
      </w:pPr>
      <w:r>
        <w:t xml:space="preserve">Find det sted, hvor cirklerne skærer hinanden, eller hvor de kommer tættest på hinanden. Sæt et mærke, og aflæs koordinaterne og navnet på den nærmeste by.</w:t>
      </w:r>
    </w:p>
    <w:bookmarkEnd w:id="31"/>
    <w:bookmarkStart w:id="33"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2" w:name="tbl-2"/>
          <w:p>
            <w:pPr>
              <w:jc w:val="center"/>
            </w:pPr>
            <w:pPr>
              <w:jc w:val="left"/>
              <w:spacing w:before="200"/>
              <w:pStyle w:val="ImageCaption"/>
            </w:pPr>
            <w:r>
              <w:t xml:space="preserve">Tabel 2: Aflæste ankomsttider.</w:t>
            </w:r>
          </w:p>
          <w:tbl>
            <w:tblPr>
              <w:tblStyle w:val="Table"/>
              <w:tblW w:type="pct" w:w="5000"/>
              <w:tblLayout w:type="fixed"/>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Station</w:t>
                  </w:r>
                </w:p>
              </w:tc>
              <w:tc>
                <w:tcPr/>
                <w:p>
                  <w:pPr>
                    <w:pStyle w:val="Compact"/>
                    <w:keepNext/>
                    <w:jc w:val="center"/>
                    <w:jc w:val="center"/>
                  </w:pPr>
                  <w:r>
                    <w:t xml:space="preserve">P-bølge ankommer (kl.)</w:t>
                  </w:r>
                </w:p>
              </w:tc>
              <w:tc>
                <w:tcPr/>
                <w:p>
                  <w:pPr>
                    <w:pStyle w:val="Compact"/>
                    <w:keepNext/>
                    <w:jc w:val="center"/>
                    <w:jc w:val="center"/>
                  </w:pPr>
                  <w:r>
                    <w:t xml:space="preserve">S-bølge ankommer (kl.)</w:t>
                  </w:r>
                </w:p>
              </w:tc>
              <w:tc>
                <w:tcPr/>
                <w:p>
                  <w:pPr>
                    <w:pStyle w:val="Compact"/>
                    <w:keepNext/>
                    <w:jc w:val="center"/>
                    <w:jc w:val="center"/>
                  </w:pPr>
                  <m:oMath>
                    <m:r>
                      <m:rPr>
                        <m:sty m:val="p"/>
                      </m:rPr>
                      <m:t>Δ</m:t>
                    </m:r>
                    <m:r>
                      <m:t>t</m:t>
                    </m:r>
                    <m:r>
                      <m:rPr>
                        <m:sty m:val="p"/>
                      </m:rPr>
                      <m:t>=</m:t>
                    </m:r>
                    <m:sSub>
                      <m:e>
                        <m:r>
                          <m:t>t</m:t>
                        </m:r>
                      </m:e>
                      <m:sub>
                        <m:r>
                          <m:t>S</m:t>
                        </m:r>
                      </m:sub>
                    </m:sSub>
                    <m:r>
                      <m:rPr>
                        <m:sty m:val="p"/>
                      </m:rPr>
                      <m:t>−</m:t>
                    </m:r>
                    <m:sSub>
                      <m:e>
                        <m:r>
                          <m:t>t</m:t>
                        </m:r>
                      </m:e>
                      <m:sub>
                        <m:r>
                          <m:t>P</m:t>
                        </m:r>
                      </m:sub>
                    </m:sSub>
                  </m:oMath>
                  <w:r>
                    <w:t xml:space="preserve"> </w:t>
                  </w:r>
                  <w:r>
                    <w:t xml:space="preserve">(s)</w:t>
                  </w:r>
                </w:p>
              </w:tc>
            </w:tr>
            <w:tr>
              <w:trPr>
                <w:cantSplit/>
              </w:trPr>
              <w:tc>
                <w:tcPr/>
                <w:p>
                  <w:pPr>
                    <w:pStyle w:val="Compact"/>
                    <w:keepNext/>
                    <w:jc w:val="center"/>
                    <w:jc w:val="center"/>
                  </w:pPr>
                  <w:r>
                    <w:t xml:space="preserve">GRQ</w:t>
                  </w:r>
                </w:p>
              </w:tc>
              <w:tc>
                <w:tcPr/>
                <w:p>
                  <w:pPr>
                    <w:pStyle w:val="Compact"/>
                    <w:keepNext/>
                    <w:jc w:val="center"/>
                    <w:jc w:val="center"/>
                  </w:pPr>
                  <w:r>
                    <w:t xml:space="preserve">17:41:</w:t>
                  </w:r>
                </w:p>
              </w:tc>
              <w:tc>
                <w:tcPr/>
                <w:p>
                  <w:pPr>
                    <w:pStyle w:val="Compact"/>
                    <w:keepNext/>
                    <w:jc w:val="center"/>
                    <w:jc w:val="center"/>
                  </w:pPr>
                  <w:r>
                    <w:t xml:space="preserve">17:42:</w:t>
                  </w:r>
                </w:p>
              </w:tc>
              <w:tc>
                <w:tcPr/>
                <w:p>
                  <w:pPr>
                    <w:pStyle w:val="Compact"/>
                    <w:keepNext/>
                  </w:pPr>
                </w:p>
              </w:tc>
            </w:tr>
            <w:tr>
              <w:trPr>
                <w:cantSplit/>
              </w:trPr>
              <w:tc>
                <w:tcPr/>
                <w:p>
                  <w:pPr>
                    <w:pStyle w:val="Compact"/>
                    <w:keepNext/>
                    <w:jc w:val="center"/>
                    <w:jc w:val="center"/>
                  </w:pPr>
                  <w:r>
                    <w:t xml:space="preserve">TRQ</w:t>
                  </w:r>
                </w:p>
              </w:tc>
              <w:tc>
                <w:tcPr/>
                <w:p>
                  <w:pPr>
                    <w:pStyle w:val="Compact"/>
                    <w:keepNext/>
                    <w:jc w:val="center"/>
                    <w:jc w:val="center"/>
                  </w:pPr>
                  <w:r>
                    <w:t xml:space="preserve">17:41:</w:t>
                  </w:r>
                </w:p>
              </w:tc>
              <w:tc>
                <w:tcPr/>
                <w:p>
                  <w:pPr>
                    <w:pStyle w:val="Compact"/>
                    <w:keepNext/>
                    <w:jc w:val="center"/>
                    <w:jc w:val="center"/>
                  </w:pPr>
                  <w:r>
                    <w:t xml:space="preserve">17:42:</w:t>
                  </w:r>
                </w:p>
              </w:tc>
              <w:tc>
                <w:tcPr/>
                <w:p>
                  <w:pPr>
                    <w:pStyle w:val="Compact"/>
                    <w:keepNext/>
                  </w:pPr>
                </w:p>
              </w:tc>
            </w:tr>
            <w:tr>
              <w:trPr>
                <w:cantSplit/>
              </w:trPr>
              <w:tc>
                <w:tcPr/>
                <w:p>
                  <w:pPr>
                    <w:pStyle w:val="Compact"/>
                    <w:keepNext/>
                    <w:jc w:val="center"/>
                    <w:jc w:val="center"/>
                  </w:pPr>
                  <w:r>
                    <w:t xml:space="preserve">CRLO</w:t>
                  </w:r>
                </w:p>
              </w:tc>
              <w:tc>
                <w:tcPr/>
                <w:p>
                  <w:pPr>
                    <w:pStyle w:val="Compact"/>
                    <w:keepNext/>
                    <w:jc w:val="center"/>
                    <w:jc w:val="center"/>
                  </w:pPr>
                  <w:r>
                    <w:t xml:space="preserve">17:42:</w:t>
                  </w:r>
                </w:p>
              </w:tc>
              <w:tc>
                <w:tcPr/>
                <w:p>
                  <w:pPr>
                    <w:pStyle w:val="Compact"/>
                    <w:keepNext/>
                    <w:jc w:val="center"/>
                    <w:jc w:val="center"/>
                  </w:pPr>
                  <w:r>
                    <w:t xml:space="preserve">17:42:</w:t>
                  </w:r>
                </w:p>
              </w:tc>
              <w:tc>
                <w:tcPr/>
                <w:p>
                  <w:pPr>
                    <w:pStyle w:val="Compact"/>
                    <w:keepNext/>
                  </w:pPr>
                </w:p>
              </w:tc>
            </w:tr>
            <w:tr>
              <w:trPr>
                <w:cantSplit/>
              </w:trPr>
              <w:tc>
                <w:tcPr/>
                <w:p>
                  <w:pPr>
                    <w:pStyle w:val="Compact"/>
                    <w:jc w:val="center"/>
                    <w:jc w:val="center"/>
                  </w:pPr>
                  <w:r>
                    <w:t xml:space="preserve">KGNO</w:t>
                  </w:r>
                </w:p>
              </w:tc>
              <w:tc>
                <w:tcPr/>
                <w:p>
                  <w:pPr>
                    <w:pStyle w:val="Compact"/>
                    <w:jc w:val="center"/>
                    <w:jc w:val="center"/>
                  </w:pPr>
                  <w:r>
                    <w:t xml:space="preserve">17:42:</w:t>
                  </w:r>
                </w:p>
              </w:tc>
              <w:tc>
                <w:tcPr/>
                <w:p>
                  <w:pPr>
                    <w:pStyle w:val="Compact"/>
                    <w:jc w:val="center"/>
                    <w:jc w:val="center"/>
                  </w:pPr>
                  <w:r>
                    <w:t xml:space="preserve">17:42:</w:t>
                  </w:r>
                </w:p>
              </w:tc>
              <w:tc>
                <w:tcPr/>
                <w:p>
                  <w:pPr>
                    <w:pStyle w:val="Compact"/>
                  </w:pPr>
                </w:p>
              </w:tc>
            </w:tr>
          </w:tbl>
          <w:bookmarkEnd w:id="32"/>
          <w:p/>
        </w:tc>
      </w:tr>
    </w:tbl>
    <w:bookmarkEnd w:id="33"/>
    <w:bookmarkStart w:id="35" w:name="databehandling"/>
    <w:p>
      <w:pPr>
        <w:pStyle w:val="Heading2"/>
      </w:pPr>
      <w:r>
        <w:t xml:space="preserve">Databehandling</w:t>
      </w:r>
    </w:p>
    <w:p>
      <w:pPr>
        <w:numPr>
          <w:ilvl w:val="0"/>
          <w:numId w:val="1003"/>
        </w:numPr>
      </w:pPr>
      <w:r>
        <w:t xml:space="preserve">Beregn tidsforskellen</w:t>
      </w:r>
      <w:r>
        <w:t xml:space="preserve"> </w:t>
      </w:r>
      <m:oMath>
        <m:r>
          <m:rPr>
            <m:sty m:val="p"/>
          </m:rPr>
          <m:t>Δ</m:t>
        </m:r>
        <m:r>
          <m:t>t</m:t>
        </m:r>
      </m:oMath>
      <w:r>
        <w:t xml:space="preserve"> </w:t>
      </w:r>
      <w:r>
        <w:t xml:space="preserve">for hver station, og beregn afstanden til jordskælvet med formlen</w:t>
      </w:r>
      <w:r>
        <w:t xml:space="preserve"> </w:t>
      </w:r>
      <m:oMath>
        <m:r>
          <m:t>D</m:t>
        </m:r>
        <m:r>
          <m:rPr>
            <m:sty m:val="p"/>
          </m:rPr>
          <m:t>=</m:t>
        </m:r>
        <m:r>
          <m:rPr>
            <m:sty m:val="p"/>
          </m:rPr>
          <m:t>Δ</m:t>
        </m:r>
        <m:r>
          <m:t>t</m:t>
        </m:r>
        <m:r>
          <m:rPr>
            <m:sty m:val="p"/>
          </m:rPr>
          <m:t>⋅</m:t>
        </m:r>
        <m:r>
          <m:rPr>
            <m:nor/>
            <m:sty m:val="p"/>
          </m:rPr>
          <m:t>8,9</m:t>
        </m:r>
        <m:r>
          <m:t> </m:t>
        </m:r>
        <m:r>
          <m:rPr>
            <m:nor/>
            <m:sty m:val="p"/>
          </m:rPr>
          <m:t>km/s</m:t>
        </m:r>
      </m:oMath>
      <w:r>
        <w:t xml:space="preserve">. Skriv resultaterne i</w:t>
      </w:r>
      <w:r>
        <w:t xml:space="preserve"> </w:t>
      </w:r>
      <w:hyperlink w:anchor="tbl-3">
        <w:r>
          <w:rPr>
            <w:rStyle w:val="Hyperlink"/>
          </w:rPr>
          <w:t xml:space="preserve">Tabel 3</w:t>
        </w:r>
      </w:hyperlink>
      <w:r>
        <w:t xml:space="preserve">.</w:t>
      </w:r>
    </w:p>
    <w:p>
      <w:pPr>
        <w:numPr>
          <w:ilvl w:val="0"/>
          <w:numId w:val="1003"/>
        </w:numPr>
      </w:pPr>
      <w:r>
        <w:t xml:space="preserve">Tegn cirklerne i Google Earth (fremgangsmåden trin 4–5). Hvor ligger epicentret ifølge jeres målinger? Notér koordinaterne.</w:t>
      </w:r>
    </w:p>
    <w:p>
      <w:pPr>
        <w:numPr>
          <w:ilvl w:val="0"/>
          <w:numId w:val="1003"/>
        </w:numPr>
      </w:pPr>
      <w:r>
        <w:t xml:space="preserve">Beregn, hvornår jordskælvet skete. P-bølgen har brugt tiden</w:t>
      </w:r>
      <w:r>
        <w:t xml:space="preserve"> </w:t>
      </w:r>
      <m:oMath>
        <m:r>
          <m:t>D</m:t>
        </m:r>
        <m:r>
          <m:rPr>
            <m:sty m:val="p"/>
          </m:rPr>
          <m:t>/</m:t>
        </m:r>
        <m:sSub>
          <m:e>
            <m:r>
              <m:t>v</m:t>
            </m:r>
          </m:e>
          <m:sub>
            <m:r>
              <m:t>P</m:t>
            </m:r>
          </m:sub>
        </m:sSub>
      </m:oMath>
      <w:r>
        <w:t xml:space="preserve"> </w:t>
      </w:r>
      <w:r>
        <w:t xml:space="preserve">på at nå frem til stationen, så:</w:t>
      </w:r>
    </w:p>
    <w:p>
      <w:pPr>
        <w:pStyle w:val="BodyText"/>
      </w:pPr>
      <m:oMathPara>
        <m:oMathParaPr>
          <m:jc m:val="center"/>
        </m:oMathParaPr>
        <m:oMath>
          <m:sSub>
            <m:e>
              <m:r>
                <m:t>t</m:t>
              </m:r>
            </m:e>
            <m:sub>
              <m:r>
                <m:t>0</m:t>
              </m:r>
            </m:sub>
          </m:sSub>
          <m:r>
            <m:rPr>
              <m:sty m:val="p"/>
            </m:rPr>
            <m:t>=</m:t>
          </m:r>
          <m:sSub>
            <m:e>
              <m:r>
                <m:t>t</m:t>
              </m:r>
            </m:e>
            <m:sub>
              <m:r>
                <m:t>P</m:t>
              </m:r>
            </m:sub>
          </m:sSub>
          <m:r>
            <m:rPr>
              <m:sty m:val="p"/>
            </m:rPr>
            <m:t>−</m:t>
          </m:r>
          <m:f>
            <m:fPr>
              <m:type m:val="bar"/>
            </m:fPr>
            <m:num>
              <m:r>
                <m:t>D</m:t>
              </m:r>
            </m:num>
            <m:den>
              <m:r>
                <m:rPr>
                  <m:nor/>
                  <m:sty m:val="p"/>
                </m:rPr>
                <m:t>6,2</m:t>
              </m:r>
              <m:r>
                <m:t> </m:t>
              </m:r>
              <m:r>
                <m:rPr>
                  <m:nor/>
                  <m:sty m:val="p"/>
                </m:rPr>
                <m:t>km/s</m:t>
              </m:r>
            </m:den>
          </m:f>
        </m:oMath>
      </m:oMathPara>
    </w:p>
    <w:p>
      <w:pPr>
        <w:numPr>
          <w:ilvl w:val="0"/>
          <w:numId w:val="1003"/>
        </w:numPr>
      </w:pPr>
      <w:r>
        <w:t xml:space="preserve">Sammenlign med den officielle placering og det officielle tidspunkt (læreren udleverer dem, eller slå skælvet op hos USGS: «M 5.2 – 29 km NNE of Val-des-Monts, Canada»). Beregn, hvor mange kilometer jeres epicenter ligger fra det officielle. Mål afstanden med linealen i Google Earth.</w:t>
      </w:r>
    </w:p>
    <w:tbl>
      <w:tblPr>
        <w:tblStyle w:val="Table"/>
        <w:tblW w:type="pct" w:w="5000"/>
        <w:tblLayout w:type="fixed"/>
        <w:tblLook w:firstRow="0" w:lastRow="0" w:firstColumn="0" w:lastColumn="0" w:noHBand="0" w:noVBand="0" w:val="0000"/>
      </w:tblPr>
      <w:tblGrid>
        <w:gridCol w:w="7920"/>
      </w:tblGrid>
      <w:tr>
        <w:tc>
          <w:tcPr/>
          <w:bookmarkStart w:id="34" w:name="tbl-3"/>
          <w:p>
            <w:pPr>
              <w:jc w:val="center"/>
            </w:pPr>
            <w:pPr>
              <w:jc w:val="left"/>
              <w:spacing w:before="200"/>
              <w:pStyle w:val="ImageCaption"/>
            </w:pPr>
            <w:r>
              <w:t xml:space="preserve">Tabel 3: Beregnede afstande og jordskælvets tidspunkt.</w:t>
            </w:r>
          </w:p>
          <w:tbl>
            <w:tblPr>
              <w:tblStyle w:val="Table"/>
              <w:tblW w:type="pct" w:w="5000"/>
              <w:tblLayout w:type="fixed"/>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Station</w:t>
                  </w:r>
                </w:p>
              </w:tc>
              <w:tc>
                <w:tcPr/>
                <w:p>
                  <w:pPr>
                    <w:pStyle w:val="Compact"/>
                    <w:keepNext/>
                    <w:jc w:val="center"/>
                    <w:jc w:val="center"/>
                  </w:pPr>
                  <m:oMath>
                    <m:r>
                      <m:rPr>
                        <m:sty m:val="p"/>
                      </m:rPr>
                      <m:t>Δ</m:t>
                    </m:r>
                    <m:r>
                      <m:t>t</m:t>
                    </m:r>
                  </m:oMath>
                  <w:r>
                    <w:t xml:space="preserve"> </w:t>
                  </w:r>
                  <w:r>
                    <w:t xml:space="preserve">(s)</w:t>
                  </w:r>
                </w:p>
              </w:tc>
              <w:tc>
                <w:tcPr/>
                <w:p>
                  <w:pPr>
                    <w:pStyle w:val="Compact"/>
                    <w:keepNext/>
                    <w:jc w:val="center"/>
                    <w:jc w:val="center"/>
                  </w:pPr>
                  <w:r>
                    <w:t xml:space="preserve">Afstand</w:t>
                  </w:r>
                  <w:r>
                    <w:t xml:space="preserve"> </w:t>
                  </w:r>
                  <m:oMath>
                    <m:r>
                      <m:t>D</m:t>
                    </m:r>
                  </m:oMath>
                  <w:r>
                    <w:t xml:space="preserve"> </w:t>
                  </w:r>
                  <w:r>
                    <w:t xml:space="preserve">(km)</w:t>
                  </w:r>
                </w:p>
              </w:tc>
              <w:tc>
                <w:tcPr/>
                <w:p>
                  <w:pPr>
                    <w:pStyle w:val="Compact"/>
                    <w:keepNext/>
                    <w:jc w:val="center"/>
                    <w:jc w:val="center"/>
                  </w:pPr>
                  <w:r>
                    <w:t xml:space="preserve">Udløsningstidspunkt</w:t>
                  </w:r>
                  <w:r>
                    <w:t xml:space="preserve"> </w:t>
                  </w:r>
                  <m:oMath>
                    <m:sSub>
                      <m:e>
                        <m:r>
                          <m:t>t</m:t>
                        </m:r>
                      </m:e>
                      <m:sub>
                        <m:r>
                          <m:t>0</m:t>
                        </m:r>
                      </m:sub>
                    </m:sSub>
                  </m:oMath>
                </w:p>
              </w:tc>
            </w:tr>
            <w:tr>
              <w:trPr>
                <w:cantSplit/>
              </w:trPr>
              <w:tc>
                <w:tcPr/>
                <w:p>
                  <w:pPr>
                    <w:pStyle w:val="Compact"/>
                    <w:keepNext/>
                    <w:jc w:val="center"/>
                    <w:jc w:val="center"/>
                  </w:pPr>
                  <w:r>
                    <w:t xml:space="preserve">GRQ</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TRQ</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CRLO</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KGNO</w:t>
                  </w: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rPr>
                      <w:b/>
                      <w:bCs/>
                    </w:rPr>
                    <w:t xml:space="preserve">Jeres epicenter</w:t>
                  </w:r>
                </w:p>
              </w:tc>
              <w:tc>
                <w:tcPr/>
                <w:p>
                  <w:pPr>
                    <w:pStyle w:val="Compact"/>
                    <w:jc w:val="center"/>
                    <w:jc w:val="center"/>
                  </w:pPr>
                  <w:r>
                    <w:t xml:space="preserve">Bredde:</w:t>
                  </w:r>
                </w:p>
              </w:tc>
              <w:tc>
                <w:tcPr/>
                <w:p>
                  <w:pPr>
                    <w:pStyle w:val="Compact"/>
                    <w:jc w:val="center"/>
                    <w:jc w:val="center"/>
                  </w:pPr>
                  <w:r>
                    <w:t xml:space="preserve">Længde:</w:t>
                  </w:r>
                </w:p>
              </w:tc>
              <w:tc>
                <w:tcPr/>
                <w:p>
                  <w:pPr>
                    <w:pStyle w:val="Compact"/>
                    <w:jc w:val="center"/>
                    <w:jc w:val="center"/>
                  </w:pPr>
                  <w:r>
                    <w:t xml:space="preserve">Nærmeste by:</w:t>
                  </w:r>
                </w:p>
              </w:tc>
            </w:tr>
          </w:tbl>
          <w:bookmarkEnd w:id="34"/>
          <w:p/>
        </w:tc>
      </w:tr>
    </w:tbl>
    <w:bookmarkEnd w:id="35"/>
    <w:bookmarkStart w:id="36" w:name="journalspørgsmål"/>
    <w:p>
      <w:pPr>
        <w:pStyle w:val="Heading2"/>
      </w:pPr>
      <w:r>
        <w:t xml:space="preserve">Journalspørgsmål</w:t>
      </w:r>
    </w:p>
    <w:p>
      <w:pPr>
        <w:pStyle w:val="Compact"/>
        <w:numPr>
          <w:ilvl w:val="0"/>
          <w:numId w:val="1004"/>
        </w:numPr>
      </w:pPr>
      <w:r>
        <w:t xml:space="preserve">Forklar forskellen på P- og S-bølger, og hvorfor P-bølgen altid kommer først.</w:t>
      </w:r>
    </w:p>
    <w:p>
      <w:pPr>
        <w:pStyle w:val="Compact"/>
        <w:numPr>
          <w:ilvl w:val="0"/>
          <w:numId w:val="1004"/>
        </w:numPr>
      </w:pPr>
      <w:r>
        <w:t xml:space="preserve">Hvorfor skal man bruge mindst tre stationer for at bestemme epicentret? Hvad ville I vide, hvis I kun havde én eller to?</w:t>
      </w:r>
    </w:p>
    <w:p>
      <w:pPr>
        <w:pStyle w:val="Compact"/>
        <w:numPr>
          <w:ilvl w:val="0"/>
          <w:numId w:val="1004"/>
        </w:numPr>
      </w:pPr>
      <w:r>
        <w:t xml:space="preserve">Skar jeres cirkler hinanden i ét punkt? Hvis ikke: hvad kan grunden være? Tænk på aflæsningen af ankomsttiderne, at bølgernes fart varierer med bjergarterne, og at jordskælvet skete i ca. 20 km dybde.</w:t>
      </w:r>
    </w:p>
    <w:p>
      <w:pPr>
        <w:pStyle w:val="Compact"/>
        <w:numPr>
          <w:ilvl w:val="0"/>
          <w:numId w:val="1004"/>
        </w:numPr>
      </w:pPr>
      <w:r>
        <w:t xml:space="preserve">Afstandene I har beregnet, er egentlig afstanden til</w:t>
      </w:r>
      <w:r>
        <w:t xml:space="preserve"> </w:t>
      </w:r>
      <w:r>
        <w:rPr>
          <w:i/>
          <w:iCs/>
        </w:rPr>
        <w:t xml:space="preserve">hypocentret</w:t>
      </w:r>
      <w:r>
        <w:t xml:space="preserve">, ikke til epicentret. Hvorfor betyder det mest for den station, der ligger tættest på?</w:t>
      </w:r>
    </w:p>
    <w:p>
      <w:pPr>
        <w:pStyle w:val="Compact"/>
        <w:numPr>
          <w:ilvl w:val="0"/>
          <w:numId w:val="1004"/>
        </w:numPr>
      </w:pPr>
      <w:r>
        <w:t xml:space="preserve">S-bølger kan ikke bevæge sig gennem væsker. Forklar, hvordan seismologer har brugt det til at vise, at Jordens ydre kerne er flydende.</w:t>
      </w:r>
    </w:p>
    <w:p>
      <w:pPr>
        <w:pStyle w:val="Compact"/>
        <w:numPr>
          <w:ilvl w:val="0"/>
          <w:numId w:val="1004"/>
        </w:numPr>
      </w:pPr>
      <w:r>
        <w:t xml:space="preserve">Jordskælvet skete midt på den nordamerikanske plade, langt fra nærmeste pladegrænse. Hvordan kan der overhovedet komme jordskælv her? Sammenlign med jordskælv ved pladegrænser.</w:t>
      </w:r>
    </w:p>
    <w:p>
      <w:pPr>
        <w:pStyle w:val="Compact"/>
        <w:numPr>
          <w:ilvl w:val="0"/>
          <w:numId w:val="1004"/>
        </w:numPr>
      </w:pPr>
      <w:r>
        <w:t xml:space="preserve">Moderne jordskælvsvarsling (fx i Japan og Mexico) udnytter, at P-bølgen kommer før den kraftige S-bølge. Hvor mange sekunders varsel ville byer 150 og 300 km væk få? Er det nok til at gøre en forskel?</w:t>
      </w:r>
    </w:p>
    <w:bookmarkEnd w:id="36"/>
    <w:bookmarkStart w:id="37" w:name="om-denne-udgave"/>
    <w:p>
      <w:pPr>
        <w:pStyle w:val="Heading2"/>
      </w:pPr>
      <w:r>
        <w:t xml:space="preserve">Om denne udgave</w:t>
      </w:r>
    </w:p>
    <w:p>
      <w:pPr>
        <w:pStyle w:val="FirstParagraph"/>
      </w:pPr>
      <w:r>
        <w:t xml:space="preserve">Bygger på øvelsen «Lokalisering af jordskælv» fra naturgeografi C (Geolink,</w:t>
      </w:r>
      <w:r>
        <w:t xml:space="preserve"> </w:t>
      </w:r>
      <w:r>
        <w:rPr>
          <w:i/>
          <w:iCs/>
        </w:rPr>
        <w:t xml:space="preserve">Pladetektonik og naturkatastrofer</w:t>
      </w:r>
      <w:r>
        <w:t xml:space="preserve">, 2025/26), der igen bygger på en elevøvelse fra Natural Resources Canada (</w:t>
      </w:r>
      <w:r>
        <w:rPr>
          <w:i/>
          <w:iCs/>
        </w:rPr>
        <w:t xml:space="preserve">Earthquake activity 7: Locate the Earthquake</w:t>
      </w:r>
      <w:r>
        <w:t xml:space="preserve">, 2011) om det samme jordskælv, og på en ældre Google Earth-udgave af øvelsen. Ændret i forhold til originalerne:</w:t>
      </w:r>
    </w:p>
    <w:p>
      <w:pPr>
        <w:pStyle w:val="Compact"/>
        <w:numPr>
          <w:ilvl w:val="0"/>
          <w:numId w:val="1005"/>
        </w:numPr>
      </w:pPr>
      <w:r>
        <w:t xml:space="preserve">Den ældre Google Earth-udgave placerede seismogrammerne fra de canadiske stationer på opdigtede stationer i Nordeuropa. Øvelsen bruger nu de rigtige stationer, og eleverne kan sammenligne deres epicenter med det rigtige.</w:t>
      </w:r>
    </w:p>
    <w:p>
      <w:pPr>
        <w:pStyle w:val="Compact"/>
        <w:numPr>
          <w:ilvl w:val="0"/>
          <w:numId w:val="1005"/>
        </w:numPr>
      </w:pPr>
      <w:r>
        <w:t xml:space="preserve">Seismogrammerne er nye: de rigtige registreringer fra NRCan’s åbne seismiske data (Canadian National Seismograph Network), hentet og tegnet til denne vejledning med fælles tidsakse og en streg pr. sekund. Den tidligere figur var en skitse, hvor tidsforskellene ikke passede med stationernes afstande.</w:t>
      </w:r>
    </w:p>
    <w:p>
      <w:pPr>
        <w:pStyle w:val="Compact"/>
        <w:numPr>
          <w:ilvl w:val="0"/>
          <w:numId w:val="1005"/>
        </w:numPr>
      </w:pPr>
      <w:r>
        <w:t xml:space="preserve">Stationerne er valgt 80–200 km fra skælvet. Længere væk kommer den første P-bølge gennem den øverste kappe og er hurtigere end 6,2 km/s, så den simple model passer dårligere.</w:t>
      </w:r>
    </w:p>
    <w:p>
      <w:pPr>
        <w:pStyle w:val="Compact"/>
        <w:numPr>
          <w:ilvl w:val="0"/>
          <w:numId w:val="1005"/>
        </w:numPr>
      </w:pPr>
      <w:r>
        <w:t xml:space="preserve">Formlen er udledt i teksten, og beregning af jordskælvets tidspunkt er nyt. P- og S-bølgernes hastigheder (6,2 og 3,65 km/s) er de samme som i originalen.</w:t>
      </w:r>
    </w:p>
    <w:bookmarkEnd w:id="37"/>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21" Target="media/rId21.png" /><Relationship Type="http://schemas.openxmlformats.org/officeDocument/2006/relationships/hyperlink" Id="rId29" Target="seismografstationer.kml"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29" Target="seismografstationer.kml" TargetMode="External" /></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Lokalisering af jordskælv</dc:title>
  <dc:creator/>
  <dc:language>da</dc:language>
  <cp:keywords/>
  <dcterms:created xsi:type="dcterms:W3CDTF">2026-10-14T12:51:44Z</dcterms:created>
  <dcterms:modified xsi:type="dcterms:W3CDTF">2026-10-14T12:51:44Z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Find epicentret ud fra rigtige seismogrammer</vt:lpwstr>
  </property>
  <property fmtid="{D5CDD505-2E9C-101B-9397-08002B2CF9AE}" pid="11" name="toc-title">
    <vt:lpwstr>Indholdsfortegnelse</vt:lpwstr>
  </property>
</Properties>
</file>