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Override PartName="/word/media/rId28.png" ContentType="image/png"/>
  <Override PartName="/word/media/rId21.png" ContentType="image/png"/>
  <Override PartName="/word/media/ff4355ab3d7b3fb047ac1bb9b81f09919282c810.png" ContentType="image/png"/>
  <Override PartName="/word/media/22118e1eede36edf4136c10d3e20d9ff95fafa9e.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a="http://schemas.openxmlformats.org/drawingml/2006/main" xmlns:m="http://schemas.openxmlformats.org/officeDocument/2006/math" xmlns:pic="http://schemas.openxmlformats.org/drawingml/2006/picture" xmlns:r="http://schemas.openxmlformats.org/officeDocument/2006/relationships" xmlns:w="http://schemas.openxmlformats.org/wordprocessingml/2006/main" xmlns:wp="http://schemas.openxmlformats.org/drawingml/2006/wordprocessingDrawing">
  <w:body>
    <w:p>
      <w:pPr>
        <w:pStyle w:val="Title"/>
      </w:pPr>
      <w:r>
        <w:t xml:space="preserve">Ledeblokke</w:t>
      </w:r>
    </w:p>
    <w:p>
      <w:pPr>
        <w:pStyle w:val="Subtitle"/>
      </w:pPr>
      <w:r>
        <w:t xml:space="preserve">Hvor kom isen fra? Spor istidens sten tilbage til Norge, Sverige og Østersøen</w:t>
      </w:r>
    </w:p>
    <w:p>
      <w:pPr>
        <w:pStyle w:val="FirstParagraph"/>
      </w:pPr>
      <w:r>
        <w:rPr>
          <w:b/>
          <w:bCs/>
        </w:rPr>
        <w:t xml:space="preserve">Dato:</w:t>
      </w:r>
      <w:r>
        <w:t xml:space="preserve"> </w:t>
      </w:r>
      <w:r>
        <w:t xml:space="preserve">____________________     </w:t>
      </w:r>
      <w:r>
        <w:t xml:space="preserve"> </w:t>
      </w:r>
      <w:r>
        <w:rPr>
          <w:b/>
          <w:bCs/>
        </w:rPr>
        <w:t xml:space="preserve">Gruppe / navne:</w:t>
      </w:r>
      <w:r>
        <w:t xml:space="preserve"> </w:t>
      </w:r>
      <w:r>
        <w:t xml:space="preserve">________________________________________</w:t>
      </w:r>
    </w:p>
    <w:bookmarkStart w:id="19" w:name="om-øvelsen"/>
    <w:p>
      <w:pPr>
        <w:pStyle w:val="Heading2"/>
      </w:pPr>
      <w:r>
        <w:t xml:space="preserve">Om øvelsen</w:t>
      </w:r>
    </w:p>
    <w:p>
      <w:pPr>
        <w:pStyle w:val="FirstParagraph"/>
      </w:pPr>
      <w:r>
        <w:t xml:space="preserve">De fleste sten, man finder på en dansk mark eller strand, er ikke danske. De er revet løs fra grundfjeldet i Norge, Sverige og Finland og ført hertil af isen under istiderne. Nogle af dem kommer fra et så lille og velkendt område, at man kan se præcis, hvor de stammer fra. De kaldes ledeblokke. I denne øvelse bestemmer I ledeblokke, finder deres oprindelsessted på et kort og bruger dem til at finde ud af, hvilken vej isen er kommet.</w:t>
      </w:r>
    </w:p>
    <w:bookmarkEnd w:id="19"/>
    <w:bookmarkStart w:id="31" w:name="baggrund"/>
    <w:p>
      <w:pPr>
        <w:pStyle w:val="Heading2"/>
      </w:pPr>
      <w:r>
        <w:t xml:space="preserve">Baggrund</w:t>
      </w:r>
    </w:p>
    <w:p>
      <w:pPr>
        <w:pStyle w:val="FirstParagraph"/>
      </w:pPr>
      <w:r>
        <w:t xml:space="preserve">En ledeblok er en sten, hvis oprindelsessted som fast klippe kendes, fordi bjergarten kun findes i ét afgrænset område. Når isen gled hen over klippen, rev den stykker løs og slæbte dem med sig. Finder man en ledeblok i en dansk moræne, ved man derfor, at isen på et tidspunkt er kommet fra det område.</w:t>
      </w:r>
    </w:p>
    <w:p>
      <w:pPr>
        <w:pStyle w:val="BodyText"/>
      </w:pPr>
      <w:r>
        <w:t xml:space="preserve">Under den sidste istid, Weichsel-istiden, kom isen ind over Danmark i flere</w:t>
      </w:r>
      <w:r>
        <w:t xml:space="preserve"> </w:t>
      </w:r>
      <w:r>
        <w:rPr>
          <w:i/>
          <w:iCs/>
        </w:rPr>
        <w:t xml:space="preserve">isfremstød</w:t>
      </w:r>
      <w:r>
        <w:t xml:space="preserve"> </w:t>
      </w:r>
      <w:r>
        <w:t xml:space="preserve">fra forskellige retninger. Tre af de vigtigste er:</w:t>
      </w:r>
    </w:p>
    <w:p>
      <w:pPr>
        <w:pStyle w:val="Compact"/>
        <w:numPr>
          <w:ilvl w:val="0"/>
          <w:numId w:val="1001"/>
        </w:numPr>
      </w:pPr>
      <w:r>
        <w:t xml:space="preserve">Det norske isfremstød — is fra Norge, der kom ned over Skagerrak og ind over det nordlige Danmark.</w:t>
      </w:r>
    </w:p>
    <w:p>
      <w:pPr>
        <w:pStyle w:val="Compact"/>
        <w:numPr>
          <w:ilvl w:val="0"/>
          <w:numId w:val="1001"/>
        </w:numPr>
      </w:pPr>
      <w:r>
        <w:t xml:space="preserve">NØ-isen (hovedfremstødet) — is fra Sverige mod nordøst, der nåede frem til hovedopholdslinjen i Midtjylland.</w:t>
      </w:r>
    </w:p>
    <w:p>
      <w:pPr>
        <w:pStyle w:val="Compact"/>
        <w:numPr>
          <w:ilvl w:val="0"/>
          <w:numId w:val="1001"/>
        </w:numPr>
      </w:pPr>
      <w:r>
        <w:t xml:space="preserve">Det ungbaltiske isfremstød — en isstrøm, der løb ned gennem Østersølavningen og ind over Øerne og Østjylland fra sydøst.</w:t>
      </w:r>
    </w:p>
    <w:tbl>
      <w:tblPr>
        <w:tblStyle w:val="Table"/>
        <w:tblW w:type="pct" w:w="5000"/>
        <w:tblLayout w:type="fixed"/>
        <w:tblLook w:firstRow="0" w:lastRow="0" w:firstColumn="0" w:lastColumn="0" w:noHBand="0" w:noVBand="0" w:val="0000"/>
      </w:tblPr>
      <w:tblGrid>
        <w:gridCol w:w="7920"/>
      </w:tblGrid>
      <w:tr>
        <w:tc>
          <w:tcPr/>
          <w:bookmarkStart w:id="20" w:name="tbl-1"/>
          <w:p>
            <w:pPr>
              <w:jc w:val="center"/>
            </w:pPr>
            <w:pPr>
              <w:jc w:val="left"/>
              <w:spacing w:before="200"/>
              <w:pStyle w:val="ImageCaption"/>
            </w:pPr>
            <w:r>
              <w:t xml:space="preserve">Tabel 1: Nogle af de mest kendte ledeblokke i Danmark.</w:t>
            </w:r>
          </w:p>
          <w:tbl>
            <w:tblPr>
              <w:tblStyle w:val="Table"/>
              <w:tblW w:type="pct" w:w="5000"/>
              <w:tblLayout w:type="fixed"/>
              <w:tblLook w:firstRow="1" w:lastRow="0" w:firstColumn="0" w:lastColumn="0" w:noHBand="0" w:noVBand="0" w:val="0020"/>
            </w:tblPr>
            <w:tblGrid>
              <w:gridCol w:w="2640"/>
              <w:gridCol w:w="2640"/>
              <w:gridCol w:w="2640"/>
            </w:tblGrid>
            <w:tr>
              <w:trPr>
                <w:cantSplit/>
                <w:tblHeader w:val="on"/>
              </w:trPr>
              <w:tc>
                <w:tcPr/>
                <w:p>
                  <w:pPr>
                    <w:pStyle w:val="Compact"/>
                    <w:keepNext/>
                    <w:jc w:val="left"/>
                    <w:jc w:val="center"/>
                  </w:pPr>
                  <w:r>
                    <w:t xml:space="preserve">Ledeblok</w:t>
                  </w:r>
                </w:p>
              </w:tc>
              <w:tc>
                <w:tcPr/>
                <w:p>
                  <w:pPr>
                    <w:pStyle w:val="Compact"/>
                    <w:keepNext/>
                    <w:jc w:val="left"/>
                    <w:jc w:val="center"/>
                  </w:pPr>
                  <w:r>
                    <w:t xml:space="preserve">Kendetegn</w:t>
                  </w:r>
                </w:p>
              </w:tc>
              <w:tc>
                <w:tcPr/>
                <w:p>
                  <w:pPr>
                    <w:pStyle w:val="Compact"/>
                    <w:keepNext/>
                    <w:jc w:val="left"/>
                    <w:jc w:val="center"/>
                  </w:pPr>
                  <w:r>
                    <w:t xml:space="preserve">Oprindelsessted</w:t>
                  </w:r>
                </w:p>
              </w:tc>
            </w:tr>
            <w:tr>
              <w:trPr>
                <w:cantSplit/>
              </w:trPr>
              <w:tc>
                <w:tcPr/>
                <w:p>
                  <w:pPr>
                    <w:pStyle w:val="Compact"/>
                    <w:keepNext/>
                    <w:jc w:val="left"/>
                    <w:jc w:val="center"/>
                  </w:pPr>
                  <w:r>
                    <w:t xml:space="preserve">Rhombeporfyr</w:t>
                  </w:r>
                </w:p>
              </w:tc>
              <w:tc>
                <w:tcPr/>
                <w:p>
                  <w:pPr>
                    <w:pStyle w:val="Compact"/>
                    <w:keepNext/>
                    <w:jc w:val="left"/>
                    <w:jc w:val="center"/>
                  </w:pPr>
                  <w:r>
                    <w:t xml:space="preserve">Brun, grå eller grønlig finkornet grundmasse med store lyse feldspatkrystaller, der i snit ligner skæve firkanter (rhomber)</w:t>
                  </w:r>
                </w:p>
              </w:tc>
              <w:tc>
                <w:tcPr/>
                <w:p>
                  <w:pPr>
                    <w:pStyle w:val="Compact"/>
                    <w:keepNext/>
                    <w:jc w:val="left"/>
                    <w:jc w:val="center"/>
                  </w:pPr>
                  <w:r>
                    <w:t xml:space="preserve">Oslo-feltet, Norge</w:t>
                  </w:r>
                </w:p>
              </w:tc>
            </w:tr>
            <w:tr>
              <w:trPr>
                <w:cantSplit/>
              </w:trPr>
              <w:tc>
                <w:tcPr/>
                <w:p>
                  <w:pPr>
                    <w:pStyle w:val="Compact"/>
                    <w:keepNext/>
                    <w:jc w:val="left"/>
                    <w:jc w:val="center"/>
                  </w:pPr>
                  <w:r>
                    <w:t xml:space="preserve">Larvikit</w:t>
                  </w:r>
                </w:p>
              </w:tc>
              <w:tc>
                <w:tcPr/>
                <w:p>
                  <w:pPr>
                    <w:pStyle w:val="Compact"/>
                    <w:keepNext/>
                    <w:jc w:val="left"/>
                    <w:jc w:val="center"/>
                  </w:pPr>
                  <w:r>
                    <w:t xml:space="preserve">Grovkornet, grå til blågrå, med store feldspatkrystaller, der skinner blåligt i lyset</w:t>
                  </w:r>
                </w:p>
              </w:tc>
              <w:tc>
                <w:tcPr/>
                <w:p>
                  <w:pPr>
                    <w:pStyle w:val="Compact"/>
                    <w:keepNext/>
                    <w:jc w:val="left"/>
                    <w:jc w:val="center"/>
                  </w:pPr>
                  <w:r>
                    <w:t xml:space="preserve">Larvik i Oslo-feltet, Norge</w:t>
                  </w:r>
                </w:p>
              </w:tc>
            </w:tr>
            <w:tr>
              <w:trPr>
                <w:cantSplit/>
              </w:trPr>
              <w:tc>
                <w:tcPr/>
                <w:p>
                  <w:pPr>
                    <w:pStyle w:val="Compact"/>
                    <w:keepNext/>
                    <w:jc w:val="left"/>
                    <w:jc w:val="center"/>
                  </w:pPr>
                  <w:r>
                    <w:t xml:space="preserve">Kinnediabas</w:t>
                  </w:r>
                </w:p>
              </w:tc>
              <w:tc>
                <w:tcPr/>
                <w:p>
                  <w:pPr>
                    <w:pStyle w:val="Compact"/>
                    <w:keepNext/>
                    <w:jc w:val="left"/>
                    <w:jc w:val="center"/>
                  </w:pPr>
                  <w:r>
                    <w:t xml:space="preserve">Grå, middelkornet, ensartet; mørk på en frisk brudflade</w:t>
                  </w:r>
                </w:p>
              </w:tc>
              <w:tc>
                <w:tcPr/>
                <w:p>
                  <w:pPr>
                    <w:pStyle w:val="Compact"/>
                    <w:keepNext/>
                    <w:jc w:val="left"/>
                    <w:jc w:val="center"/>
                  </w:pPr>
                  <w:r>
                    <w:t xml:space="preserve">Kinnekulle i Västergötland, Sverige</w:t>
                  </w:r>
                </w:p>
              </w:tc>
            </w:tr>
            <w:tr>
              <w:trPr>
                <w:cantSplit/>
              </w:trPr>
              <w:tc>
                <w:tcPr/>
                <w:p>
                  <w:pPr>
                    <w:pStyle w:val="Compact"/>
                    <w:keepNext/>
                    <w:jc w:val="left"/>
                    <w:jc w:val="center"/>
                  </w:pPr>
                  <w:r>
                    <w:t xml:space="preserve">Påskallavikporfyr</w:t>
                  </w:r>
                </w:p>
              </w:tc>
              <w:tc>
                <w:tcPr/>
                <w:p>
                  <w:pPr>
                    <w:pStyle w:val="Compact"/>
                    <w:keepNext/>
                    <w:jc w:val="left"/>
                    <w:jc w:val="center"/>
                  </w:pPr>
                  <w:r>
                    <w:t xml:space="preserve">Mørk grundmasse med røde og hvide feldspatkorn</w:t>
                  </w:r>
                </w:p>
              </w:tc>
              <w:tc>
                <w:tcPr/>
                <w:p>
                  <w:pPr>
                    <w:pStyle w:val="Compact"/>
                    <w:keepNext/>
                    <w:jc w:val="left"/>
                    <w:jc w:val="center"/>
                  </w:pPr>
                  <w:r>
                    <w:t xml:space="preserve">Påskallavik ved Kalmarsund i Småland, Sverige</w:t>
                  </w:r>
                </w:p>
              </w:tc>
            </w:tr>
            <w:tr>
              <w:trPr>
                <w:cantSplit/>
              </w:trPr>
              <w:tc>
                <w:tcPr/>
                <w:p>
                  <w:pPr>
                    <w:pStyle w:val="Compact"/>
                    <w:keepNext/>
                    <w:jc w:val="left"/>
                    <w:jc w:val="center"/>
                  </w:pPr>
                  <w:r>
                    <w:t xml:space="preserve">Østersøkvartsporfyr</w:t>
                  </w:r>
                </w:p>
              </w:tc>
              <w:tc>
                <w:tcPr/>
                <w:p>
                  <w:pPr>
                    <w:pStyle w:val="Compact"/>
                    <w:keepNext/>
                    <w:jc w:val="left"/>
                    <w:jc w:val="center"/>
                  </w:pPr>
                  <w:r>
                    <w:t xml:space="preserve">Rødbrun eller brun, tæt grundmasse med små korn af kvarts og feldspat</w:t>
                  </w:r>
                </w:p>
              </w:tc>
              <w:tc>
                <w:tcPr/>
                <w:p>
                  <w:pPr>
                    <w:pStyle w:val="Compact"/>
                    <w:keepNext/>
                    <w:jc w:val="left"/>
                    <w:jc w:val="center"/>
                  </w:pPr>
                  <w:r>
                    <w:t xml:space="preserve">Fast klippe på bunden af Østersøen, bl.a. i Ålands hav</w:t>
                  </w:r>
                </w:p>
              </w:tc>
            </w:tr>
            <w:tr>
              <w:trPr>
                <w:cantSplit/>
              </w:trPr>
              <w:tc>
                <w:tcPr/>
                <w:p>
                  <w:pPr>
                    <w:pStyle w:val="Compact"/>
                    <w:jc w:val="left"/>
                    <w:jc w:val="center"/>
                  </w:pPr>
                  <w:r>
                    <w:t xml:space="preserve">Ålandsrapakivi</w:t>
                  </w:r>
                </w:p>
              </w:tc>
              <w:tc>
                <w:tcPr/>
                <w:p>
                  <w:pPr>
                    <w:pStyle w:val="Compact"/>
                    <w:jc w:val="left"/>
                    <w:jc w:val="center"/>
                  </w:pPr>
                  <w:r>
                    <w:t xml:space="preserve">Rød granit med store, runde feldspatkorn, der ofte har en grønlig eller hvid kant</w:t>
                  </w:r>
                </w:p>
              </w:tc>
              <w:tc>
                <w:tcPr/>
                <w:p>
                  <w:pPr>
                    <w:pStyle w:val="Compact"/>
                    <w:jc w:val="left"/>
                    <w:jc w:val="center"/>
                  </w:pPr>
                  <w:r>
                    <w:t xml:space="preserve">Ålandsøerne, Finland</w:t>
                  </w:r>
                </w:p>
              </w:tc>
            </w:tr>
          </w:tbl>
          <w:bookmarkEnd w:id="20"/>
          <w:p/>
        </w:tc>
      </w:tr>
    </w:tbl>
    <w:p>
      <w:pPr>
        <w:pStyle w:val="BodyText"/>
      </w:pPr>
      <w:r>
        <w:t xml:space="preserve"> </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keepNext/>
            </w:pPr>
            <w:pPr>
              <w:spacing w:before="0" w:after="0"/>
              <w:textAlignment w:val="center"/>
            </w:pPr>
            <w:r>
              <w:drawing>
                <wp:inline>
                  <wp:extent cx="152400" cy="152400"/>
                  <wp:effectExtent b="0" l="0" r="0" t="0"/>
                  <wp:docPr descr="" title="" id="22" name="Picture"/>
                  <a:graphic>
                    <a:graphicData uri="http://schemas.openxmlformats.org/drawingml/2006/picture">
                      <pic:pic>
                        <pic:nvPicPr>
                          <pic:cNvPr descr="/Applications/quarto/share/formats/docx/tip.png" id="23" name="Picture"/>
                          <pic:cNvPicPr>
                            <a:picLocks noChangeArrowheads="1" noChangeAspect="1"/>
                          </pic:cNvPicPr>
                        </pic:nvPicPr>
                        <pic:blipFill>
                          <a:blip r:embed="rId21"/>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Tip</w:t>
            </w:r>
          </w:p>
        </w:tc>
      </w:tr>
      <w:tr>
        <w:trPr>
          <w:cantSplit/>
        </w:trPr>
        <w:tc>
          <w:tcPr>
            <w:tcMar>
              <w:top w:w="108" w:type="dxa"/>
              <w:bottom w:w="108" w:type="dxa"/>
            </w:tcMar>
          </w:tcPr>
          <w:p>
            <w:pPr>
              <w:pStyle w:val="BodyText"/>
            </w:pPr>
            <w:pPr>
              <w:spacing w:before="16" w:after="16"/>
            </w:pPr>
            <w:r>
              <w:t xml:space="preserve">Sitets stensamling har billeder og beskrivelser af flere af ledeblokkene:</w:t>
            </w:r>
            <w:r>
              <w:t xml:space="preserve"> </w:t>
            </w:r>
            <w:hyperlink r:id="rId24">
              <w:r>
                <w:rPr>
                  <w:rStyle w:val="Hyperlink"/>
                </w:rPr>
                <w:t xml:space="preserve">rhombeporfyr</w:t>
              </w:r>
            </w:hyperlink>
            <w:r>
              <w:t xml:space="preserve">,</w:t>
            </w:r>
            <w:r>
              <w:t xml:space="preserve"> </w:t>
            </w:r>
            <w:hyperlink r:id="rId25">
              <w:r>
                <w:rPr>
                  <w:rStyle w:val="Hyperlink"/>
                </w:rPr>
                <w:t xml:space="preserve">kinnediabas</w:t>
              </w:r>
            </w:hyperlink>
            <w:r>
              <w:t xml:space="preserve">,</w:t>
            </w:r>
            <w:r>
              <w:t xml:space="preserve"> </w:t>
            </w:r>
            <w:hyperlink r:id="rId26">
              <w:r>
                <w:rPr>
                  <w:rStyle w:val="Hyperlink"/>
                </w:rPr>
                <w:t xml:space="preserve">østersøkvartsporfyr</w:t>
              </w:r>
            </w:hyperlink>
            <w:r>
              <w:t xml:space="preserve"> </w:t>
            </w:r>
            <w:r>
              <w:t xml:space="preserve">og</w:t>
            </w:r>
            <w:r>
              <w:t xml:space="preserve"> </w:t>
            </w:r>
            <w:hyperlink r:id="rId27">
              <w:r>
                <w:rPr>
                  <w:rStyle w:val="Hyperlink"/>
                </w:rPr>
                <w:t xml:space="preserve">påskallavikporfyr</w:t>
              </w:r>
            </w:hyperlink>
            <w:r>
              <w:t xml:space="preserve">.</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keepNext/>
            </w:pPr>
            <w:pPr>
              <w:spacing w:before="0" w:after="0"/>
              <w:textAlignment w:val="center"/>
            </w:pPr>
            <w:r>
              <w:drawing>
                <wp:inline>
                  <wp:extent cx="152400" cy="152400"/>
                  <wp:effectExtent b="0" l="0" r="0" t="0"/>
                  <wp:docPr descr="" title="" id="29" name="Picture"/>
                  <a:graphic>
                    <a:graphicData uri="http://schemas.openxmlformats.org/drawingml/2006/picture">
                      <pic:pic>
                        <pic:nvPicPr>
                          <pic:cNvPr descr="/Applications/quarto/share/formats/docx/note.png" id="30" name="Picture"/>
                          <pic:cNvPicPr>
                            <a:picLocks noChangeArrowheads="1" noChangeAspect="1"/>
                          </pic:cNvPicPr>
                        </pic:nvPicPr>
                        <pic:blipFill>
                          <a:blip r:embed="rId28"/>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Materialer (pr. gruppe)</w:t>
            </w:r>
          </w:p>
        </w:tc>
      </w:tr>
      <w:tr>
        <w:trPr>
          <w:cantSplit/>
        </w:trPr>
        <w:tc>
          <w:tcPr>
            <w:tcMar>
              <w:top w:w="108" w:type="dxa"/>
              <w:bottom w:w="108" w:type="dxa"/>
            </w:tcMar>
          </w:tcPr>
          <w:p>
            <w:pPr>
              <w:pStyle w:val="Compact"/>
              <w:numPr>
                <w:ilvl w:val="0"/>
                <w:numId w:val="1002"/>
              </w:numPr>
            </w:pPr>
            <w:r>
              <w:t xml:space="preserve">Et sæt nummererede stenprøver (udleveret af læreren) eller en bunke sten fra en strand, en grusgrav eller en mark</w:t>
            </w:r>
          </w:p>
          <w:p>
            <w:pPr>
              <w:pStyle w:val="Compact"/>
              <w:numPr>
                <w:ilvl w:val="0"/>
                <w:numId w:val="1002"/>
              </w:numPr>
            </w:pPr>
            <w:r>
              <w:t xml:space="preserve">Lup og evt. en vandforstøver — mange sten ses bedst, når de er våde</w:t>
            </w:r>
          </w:p>
          <w:p>
            <w:pPr>
              <w:pStyle w:val="Compact"/>
              <w:numPr>
                <w:ilvl w:val="0"/>
                <w:numId w:val="1002"/>
              </w:numPr>
            </w:pPr>
            <w:r>
              <w:t xml:space="preserve">Computer med Google Earth eller Google Maps</w:t>
            </w:r>
          </w:p>
          <w:p/>
        </w:tc>
      </w:tr>
    </w:tbl>
    <w:bookmarkEnd w:id="31"/>
    <w:bookmarkStart w:id="35" w:name="fremgangsmåde"/>
    <w:p>
      <w:pPr>
        <w:pStyle w:val="Heading2"/>
      </w:pPr>
      <w:r>
        <w:t xml:space="preserve">Fremgangsmåde</w:t>
      </w:r>
    </w:p>
    <w:bookmarkStart w:id="32" w:name="del-1-bestem-ledeblokkene"/>
    <w:p>
      <w:pPr>
        <w:pStyle w:val="Heading3"/>
      </w:pPr>
      <w:r>
        <w:t xml:space="preserve">Del 1 — Bestem ledeblokkene</w:t>
      </w:r>
    </w:p>
    <w:p>
      <w:pPr>
        <w:pStyle w:val="Compact"/>
        <w:numPr>
          <w:ilvl w:val="0"/>
          <w:numId w:val="1003"/>
        </w:numPr>
      </w:pPr>
      <w:r>
        <w:t xml:space="preserve">Undersøg stenprøverne én ad gangen. Gør dem våde, og se på farve, kornstørrelse og krystaller med luppen.</w:t>
      </w:r>
    </w:p>
    <w:p>
      <w:pPr>
        <w:pStyle w:val="Compact"/>
        <w:numPr>
          <w:ilvl w:val="0"/>
          <w:numId w:val="1003"/>
        </w:numPr>
      </w:pPr>
      <w:r>
        <w:t xml:space="preserve">Sammenlign med</w:t>
      </w:r>
      <w:r>
        <w:t xml:space="preserve"> </w:t>
      </w:r>
      <w:hyperlink w:anchor="tbl-1">
        <w:r>
          <w:rPr>
            <w:rStyle w:val="Hyperlink"/>
          </w:rPr>
          <w:t xml:space="preserve">Tabel 1</w:t>
        </w:r>
      </w:hyperlink>
      <w:r>
        <w:t xml:space="preserve"> </w:t>
      </w:r>
      <w:r>
        <w:t xml:space="preserve">og med billederne i stensamlingen. Skriv jeres beskrivelse og bestemmelse i</w:t>
      </w:r>
      <w:r>
        <w:t xml:space="preserve"> </w:t>
      </w:r>
      <w:hyperlink w:anchor="tbl-2">
        <w:r>
          <w:rPr>
            <w:rStyle w:val="Hyperlink"/>
          </w:rPr>
          <w:t xml:space="preserve">Tabel 2</w:t>
        </w:r>
      </w:hyperlink>
      <w:r>
        <w:t xml:space="preserve">.</w:t>
      </w:r>
    </w:p>
    <w:bookmarkEnd w:id="32"/>
    <w:bookmarkStart w:id="33" w:name="del-2-find-oprindelsesstederne"/>
    <w:p>
      <w:pPr>
        <w:pStyle w:val="Heading3"/>
      </w:pPr>
      <w:r>
        <w:t xml:space="preserve">Del 2 — Find oprindelsesstederne</w:t>
      </w:r>
    </w:p>
    <w:p>
      <w:pPr>
        <w:pStyle w:val="Compact"/>
        <w:numPr>
          <w:ilvl w:val="0"/>
          <w:numId w:val="1004"/>
        </w:numPr>
      </w:pPr>
      <w:r>
        <w:t xml:space="preserve">Find oprindelsesstedet for hver ledeblok i Google Earth eller Google Maps, og sæt et mærke.</w:t>
      </w:r>
    </w:p>
    <w:p>
      <w:pPr>
        <w:pStyle w:val="Compact"/>
        <w:numPr>
          <w:ilvl w:val="0"/>
          <w:numId w:val="1004"/>
        </w:numPr>
      </w:pPr>
      <w:r>
        <w:t xml:space="preserve">Mål afstanden i en lige linje fra oprindelsesstedet til jeres skole med linealværktøjet, og notér den omtrentlige kompasretning, isen må være kommet fra.</w:t>
      </w:r>
    </w:p>
    <w:bookmarkEnd w:id="33"/>
    <w:bookmarkStart w:id="34" w:name="Xd7df330e955d3902bf7302365ae3de02075e7b8"/>
    <w:p>
      <w:pPr>
        <w:pStyle w:val="Heading3"/>
      </w:pPr>
      <w:r>
        <w:t xml:space="preserve">Del 3 (valgfri) — Tæl ledeblokke i en stenbunke</w:t>
      </w:r>
    </w:p>
    <w:p>
      <w:pPr>
        <w:pStyle w:val="Compact"/>
        <w:numPr>
          <w:ilvl w:val="0"/>
          <w:numId w:val="1005"/>
        </w:numPr>
      </w:pPr>
      <w:r>
        <w:t xml:space="preserve">Gennemgå en bunke sten fra en strand eller en mark. Læg alle de sten til side, I kan bestemme som ledeblokke, og tæl, hvor mange der er af hver slags. Skriv antallene i</w:t>
      </w:r>
      <w:r>
        <w:t xml:space="preserve"> </w:t>
      </w:r>
      <w:hyperlink w:anchor="tbl-3">
        <w:r>
          <w:rPr>
            <w:rStyle w:val="Hyperlink"/>
          </w:rPr>
          <w:t xml:space="preserve">Tabel 3</w:t>
        </w:r>
      </w:hyperlink>
      <w:r>
        <w:t xml:space="preserve">.</w:t>
      </w:r>
    </w:p>
    <w:bookmarkEnd w:id="34"/>
    <w:bookmarkEnd w:id="35"/>
    <w:bookmarkStart w:id="38" w:name="registrering"/>
    <w:p>
      <w:pPr>
        <w:pStyle w:val="Heading2"/>
      </w:pPr>
      <w:r>
        <w:t xml:space="preserve">Registrering</w:t>
      </w:r>
    </w:p>
    <w:tbl>
      <w:tblPr>
        <w:tblStyle w:val="Table"/>
        <w:tblW w:type="pct" w:w="5000"/>
        <w:tblLayout w:type="fixed"/>
        <w:tblLook w:firstRow="0" w:lastRow="0" w:firstColumn="0" w:lastColumn="0" w:noHBand="0" w:noVBand="0" w:val="0000"/>
      </w:tblPr>
      <w:tblGrid>
        <w:gridCol w:w="7920"/>
      </w:tblGrid>
      <w:tr>
        <w:tc>
          <w:tcPr/>
          <w:bookmarkStart w:id="36" w:name="tbl-2"/>
          <w:p>
            <w:pPr>
              <w:jc w:val="center"/>
            </w:pPr>
            <w:pPr>
              <w:jc w:val="left"/>
              <w:spacing w:before="200"/>
              <w:pStyle w:val="ImageCaption"/>
            </w:pPr>
            <w:r>
              <w:t xml:space="preserve">Tabel 2: Bestemmelse af stenprøverne.</w:t>
            </w:r>
          </w:p>
          <w:tbl>
            <w:tblPr>
              <w:tblStyle w:val="Table"/>
              <w:tblW w:type="pct" w:w="5000"/>
              <w:tblLayout w:type="fixed"/>
              <w:tblLook w:firstRow="1" w:lastRow="0" w:firstColumn="0" w:lastColumn="0" w:noHBand="0" w:noVBand="0" w:val="0020"/>
            </w:tblPr>
            <w:tblGrid>
              <w:gridCol w:w="1250"/>
              <w:gridCol w:w="1667"/>
              <w:gridCol w:w="1250"/>
              <w:gridCol w:w="1250"/>
              <w:gridCol w:w="1250"/>
              <w:gridCol w:w="1250"/>
            </w:tblGrid>
            <w:tr>
              <w:trPr>
                <w:cantSplit/>
                <w:tblHeader w:val="on"/>
              </w:trPr>
              <w:tc>
                <w:tcPr/>
                <w:p>
                  <w:pPr>
                    <w:pStyle w:val="Compact"/>
                    <w:keepNext/>
                    <w:jc w:val="center"/>
                    <w:jc w:val="center"/>
                  </w:pPr>
                  <w:r>
                    <w:t xml:space="preserve">Prøve</w:t>
                  </w:r>
                </w:p>
              </w:tc>
              <w:tc>
                <w:tcPr/>
                <w:p>
                  <w:pPr>
                    <w:pStyle w:val="Compact"/>
                    <w:keepNext/>
                    <w:jc w:val="left"/>
                    <w:jc w:val="center"/>
                  </w:pPr>
                  <w:r>
                    <w:t xml:space="preserve">Beskrivelse (farve, kornstørrelse, krystaller)</w:t>
                  </w:r>
                </w:p>
              </w:tc>
              <w:tc>
                <w:tcPr/>
                <w:p>
                  <w:pPr>
                    <w:pStyle w:val="Compact"/>
                    <w:keepNext/>
                    <w:jc w:val="center"/>
                    <w:jc w:val="center"/>
                  </w:pPr>
                  <w:r>
                    <w:t xml:space="preserve">Ledeblok</w:t>
                  </w:r>
                </w:p>
              </w:tc>
              <w:tc>
                <w:tcPr/>
                <w:p>
                  <w:pPr>
                    <w:pStyle w:val="Compact"/>
                    <w:keepNext/>
                    <w:jc w:val="center"/>
                    <w:jc w:val="center"/>
                  </w:pPr>
                  <w:r>
                    <w:t xml:space="preserve">Oprindelsessted</w:t>
                  </w:r>
                </w:p>
              </w:tc>
              <w:tc>
                <w:tcPr/>
                <w:p>
                  <w:pPr>
                    <w:pStyle w:val="Compact"/>
                    <w:keepNext/>
                    <w:jc w:val="center"/>
                    <w:jc w:val="center"/>
                  </w:pPr>
                  <w:r>
                    <w:t xml:space="preserve">Afstand til skolen (km)</w:t>
                  </w:r>
                </w:p>
              </w:tc>
              <w:tc>
                <w:tcPr/>
                <w:p>
                  <w:pPr>
                    <w:pStyle w:val="Compact"/>
                    <w:keepNext/>
                    <w:jc w:val="center"/>
                    <w:jc w:val="center"/>
                  </w:pPr>
                  <w:r>
                    <w:t xml:space="preserve">Isen kom fra (retning)</w:t>
                  </w:r>
                </w:p>
              </w:tc>
            </w:tr>
            <w:tr>
              <w:trPr>
                <w:cantSplit/>
              </w:trPr>
              <w:tc>
                <w:tcPr/>
                <w:p>
                  <w:pPr>
                    <w:pStyle w:val="Compact"/>
                    <w:keepNext/>
                    <w:jc w:val="center"/>
                    <w:jc w:val="center"/>
                  </w:pPr>
                  <w:r>
                    <w:t xml:space="preserve">1</w:t>
                  </w: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r>
            <w:tr>
              <w:trPr>
                <w:cantSplit/>
              </w:trPr>
              <w:tc>
                <w:tcPr/>
                <w:p>
                  <w:pPr>
                    <w:pStyle w:val="Compact"/>
                    <w:keepNext/>
                    <w:jc w:val="center"/>
                    <w:jc w:val="center"/>
                  </w:pPr>
                  <w:r>
                    <w:t xml:space="preserve">2</w:t>
                  </w: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r>
            <w:tr>
              <w:trPr>
                <w:cantSplit/>
              </w:trPr>
              <w:tc>
                <w:tcPr/>
                <w:p>
                  <w:pPr>
                    <w:pStyle w:val="Compact"/>
                    <w:keepNext/>
                    <w:jc w:val="center"/>
                    <w:jc w:val="center"/>
                  </w:pPr>
                  <w:r>
                    <w:t xml:space="preserve">3</w:t>
                  </w: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r>
            <w:tr>
              <w:trPr>
                <w:cantSplit/>
              </w:trPr>
              <w:tc>
                <w:tcPr/>
                <w:p>
                  <w:pPr>
                    <w:pStyle w:val="Compact"/>
                    <w:keepNext/>
                    <w:jc w:val="center"/>
                    <w:jc w:val="center"/>
                  </w:pPr>
                  <w:r>
                    <w:t xml:space="preserve">4</w:t>
                  </w: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r>
            <w:tr>
              <w:trPr>
                <w:cantSplit/>
              </w:trPr>
              <w:tc>
                <w:tcPr/>
                <w:p>
                  <w:pPr>
                    <w:pStyle w:val="Compact"/>
                    <w:keepNext/>
                    <w:jc w:val="center"/>
                    <w:jc w:val="center"/>
                  </w:pPr>
                  <w:r>
                    <w:t xml:space="preserve">5</w:t>
                  </w: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r>
            <w:tr>
              <w:trPr>
                <w:cantSplit/>
              </w:trPr>
              <w:tc>
                <w:tcPr/>
                <w:p>
                  <w:pPr>
                    <w:pStyle w:val="Compact"/>
                    <w:jc w:val="center"/>
                    <w:jc w:val="center"/>
                  </w:pPr>
                  <w:r>
                    <w:t xml:space="preserve">6</w:t>
                  </w:r>
                </w:p>
              </w:tc>
              <w:tc>
                <w:tcPr/>
                <w:p>
                  <w:pPr>
                    <w:pStyle w:val="Compact"/>
                  </w:pPr>
                </w:p>
              </w:tc>
              <w:tc>
                <w:tcPr/>
                <w:p>
                  <w:pPr>
                    <w:pStyle w:val="Compact"/>
                  </w:pPr>
                </w:p>
              </w:tc>
              <w:tc>
                <w:tcPr/>
                <w:p>
                  <w:pPr>
                    <w:pStyle w:val="Compact"/>
                  </w:pPr>
                </w:p>
              </w:tc>
              <w:tc>
                <w:tcPr/>
                <w:p>
                  <w:pPr>
                    <w:pStyle w:val="Compact"/>
                  </w:pPr>
                </w:p>
              </w:tc>
              <w:tc>
                <w:tcPr/>
                <w:p>
                  <w:pPr>
                    <w:pStyle w:val="Compact"/>
                  </w:pPr>
                </w:p>
              </w:tc>
            </w:tr>
          </w:tbl>
          <w:bookmarkEnd w:id="36"/>
          <w:p/>
        </w:tc>
      </w:tr>
    </w:tbl>
    <w:p>
      <w:pPr>
        <w:pStyle w:val="BodyText"/>
      </w:pPr>
      <w:r>
        <w:t xml:space="preserve"> </w:t>
      </w:r>
    </w:p>
    <w:tbl>
      <w:tblPr>
        <w:tblStyle w:val="Table"/>
        <w:tblW w:type="pct" w:w="5000"/>
        <w:tblLayout w:type="fixed"/>
        <w:tblLook w:firstRow="0" w:lastRow="0" w:firstColumn="0" w:lastColumn="0" w:noHBand="0" w:noVBand="0" w:val="0000"/>
      </w:tblPr>
      <w:tblGrid>
        <w:gridCol w:w="7920"/>
      </w:tblGrid>
      <w:tr>
        <w:tc>
          <w:tcPr/>
          <w:bookmarkStart w:id="37" w:name="tbl-3"/>
          <w:p>
            <w:pPr>
              <w:jc w:val="center"/>
            </w:pPr>
            <w:pPr>
              <w:jc w:val="left"/>
              <w:spacing w:before="200"/>
              <w:pStyle w:val="ImageCaption"/>
            </w:pPr>
            <w:r>
              <w:t xml:space="preserve">Tabel 3: Optælling af ledeblokke i en stenbunke (Del 3). Sted: ________________________</w:t>
            </w:r>
          </w:p>
          <w:tbl>
            <w:tblPr>
              <w:tblStyle w:val="Table"/>
              <w:tblW w:type="auto" w:w="0"/>
              <w:tblLook w:firstRow="1" w:lastRow="0" w:firstColumn="0" w:lastColumn="0" w:noHBand="0" w:noVBand="0" w:val="0020"/>
            </w:tblPr>
            <w:tblGrid>
              <w:gridCol w:w="1980"/>
              <w:gridCol w:w="1980"/>
              <w:gridCol w:w="1980"/>
              <w:gridCol w:w="1980"/>
            </w:tblGrid>
            <w:tr>
              <w:trPr>
                <w:cantSplit/>
                <w:tblHeader w:val="on"/>
              </w:trPr>
              <w:tc>
                <w:tcPr/>
                <w:p>
                  <w:pPr>
                    <w:pStyle w:val="Compact"/>
                    <w:keepNext/>
                    <w:jc w:val="left"/>
                    <w:jc w:val="center"/>
                  </w:pPr>
                  <w:r>
                    <w:t xml:space="preserve">Ledeblok</w:t>
                  </w:r>
                </w:p>
              </w:tc>
              <w:tc>
                <w:tcPr/>
                <w:p>
                  <w:pPr>
                    <w:pStyle w:val="Compact"/>
                    <w:keepNext/>
                    <w:jc w:val="center"/>
                    <w:jc w:val="center"/>
                  </w:pPr>
                  <w:r>
                    <w:t xml:space="preserve">Antal</w:t>
                  </w:r>
                </w:p>
              </w:tc>
              <w:tc>
                <w:tcPr/>
                <w:p>
                  <w:pPr>
                    <w:pStyle w:val="Compact"/>
                    <w:keepNext/>
                    <w:jc w:val="center"/>
                    <w:jc w:val="center"/>
                  </w:pPr>
                  <w:r>
                    <w:t xml:space="preserve">Andel (%)</w:t>
                  </w:r>
                </w:p>
              </w:tc>
              <w:tc>
                <w:tcPr/>
                <w:p>
                  <w:pPr>
                    <w:pStyle w:val="Compact"/>
                    <w:keepNext/>
                    <w:jc w:val="center"/>
                    <w:jc w:val="center"/>
                  </w:pPr>
                  <w:r>
                    <w:t xml:space="preserve">Isfremstød</w:t>
                  </w:r>
                </w:p>
              </w:tc>
            </w:tr>
            <w:tr>
              <w:trPr>
                <w:cantSplit/>
              </w:trPr>
              <w:tc>
                <w:tcPr/>
                <w:p>
                  <w:pPr>
                    <w:pStyle w:val="Compact"/>
                    <w:keepNext/>
                    <w:jc w:val="left"/>
                    <w:jc w:val="center"/>
                  </w:pPr>
                  <w:r>
                    <w:t xml:space="preserve">Rhombeporfyr</w:t>
                  </w:r>
                </w:p>
              </w:tc>
              <w:tc>
                <w:tcPr/>
                <w:p>
                  <w:pPr>
                    <w:pStyle w:val="Compact"/>
                    <w:keepNext/>
                  </w:pPr>
                </w:p>
              </w:tc>
              <w:tc>
                <w:tcPr/>
                <w:p>
                  <w:pPr>
                    <w:pStyle w:val="Compact"/>
                    <w:keepNext/>
                  </w:pPr>
                </w:p>
              </w:tc>
              <w:tc>
                <w:tcPr/>
                <w:p>
                  <w:pPr>
                    <w:pStyle w:val="Compact"/>
                    <w:keepNext/>
                  </w:pPr>
                </w:p>
              </w:tc>
            </w:tr>
            <w:tr>
              <w:trPr>
                <w:cantSplit/>
              </w:trPr>
              <w:tc>
                <w:tcPr/>
                <w:p>
                  <w:pPr>
                    <w:pStyle w:val="Compact"/>
                    <w:keepNext/>
                    <w:jc w:val="left"/>
                    <w:jc w:val="center"/>
                  </w:pPr>
                  <w:r>
                    <w:t xml:space="preserve">Larvikit</w:t>
                  </w:r>
                </w:p>
              </w:tc>
              <w:tc>
                <w:tcPr/>
                <w:p>
                  <w:pPr>
                    <w:pStyle w:val="Compact"/>
                    <w:keepNext/>
                  </w:pPr>
                </w:p>
              </w:tc>
              <w:tc>
                <w:tcPr/>
                <w:p>
                  <w:pPr>
                    <w:pStyle w:val="Compact"/>
                    <w:keepNext/>
                  </w:pPr>
                </w:p>
              </w:tc>
              <w:tc>
                <w:tcPr/>
                <w:p>
                  <w:pPr>
                    <w:pStyle w:val="Compact"/>
                    <w:keepNext/>
                  </w:pPr>
                </w:p>
              </w:tc>
            </w:tr>
            <w:tr>
              <w:trPr>
                <w:cantSplit/>
              </w:trPr>
              <w:tc>
                <w:tcPr/>
                <w:p>
                  <w:pPr>
                    <w:pStyle w:val="Compact"/>
                    <w:keepNext/>
                    <w:jc w:val="left"/>
                    <w:jc w:val="center"/>
                  </w:pPr>
                  <w:r>
                    <w:t xml:space="preserve">Kinnediabas</w:t>
                  </w:r>
                </w:p>
              </w:tc>
              <w:tc>
                <w:tcPr/>
                <w:p>
                  <w:pPr>
                    <w:pStyle w:val="Compact"/>
                    <w:keepNext/>
                  </w:pPr>
                </w:p>
              </w:tc>
              <w:tc>
                <w:tcPr/>
                <w:p>
                  <w:pPr>
                    <w:pStyle w:val="Compact"/>
                    <w:keepNext/>
                  </w:pPr>
                </w:p>
              </w:tc>
              <w:tc>
                <w:tcPr/>
                <w:p>
                  <w:pPr>
                    <w:pStyle w:val="Compact"/>
                    <w:keepNext/>
                  </w:pPr>
                </w:p>
              </w:tc>
            </w:tr>
            <w:tr>
              <w:trPr>
                <w:cantSplit/>
              </w:trPr>
              <w:tc>
                <w:tcPr/>
                <w:p>
                  <w:pPr>
                    <w:pStyle w:val="Compact"/>
                    <w:keepNext/>
                    <w:jc w:val="left"/>
                    <w:jc w:val="center"/>
                  </w:pPr>
                  <w:r>
                    <w:t xml:space="preserve">Påskallavikporfyr</w:t>
                  </w:r>
                </w:p>
              </w:tc>
              <w:tc>
                <w:tcPr/>
                <w:p>
                  <w:pPr>
                    <w:pStyle w:val="Compact"/>
                    <w:keepNext/>
                  </w:pPr>
                </w:p>
              </w:tc>
              <w:tc>
                <w:tcPr/>
                <w:p>
                  <w:pPr>
                    <w:pStyle w:val="Compact"/>
                    <w:keepNext/>
                  </w:pPr>
                </w:p>
              </w:tc>
              <w:tc>
                <w:tcPr/>
                <w:p>
                  <w:pPr>
                    <w:pStyle w:val="Compact"/>
                    <w:keepNext/>
                  </w:pPr>
                </w:p>
              </w:tc>
            </w:tr>
            <w:tr>
              <w:trPr>
                <w:cantSplit/>
              </w:trPr>
              <w:tc>
                <w:tcPr/>
                <w:p>
                  <w:pPr>
                    <w:pStyle w:val="Compact"/>
                    <w:keepNext/>
                    <w:jc w:val="left"/>
                    <w:jc w:val="center"/>
                  </w:pPr>
                  <w:r>
                    <w:t xml:space="preserve">Østersøkvartsporfyr</w:t>
                  </w:r>
                </w:p>
              </w:tc>
              <w:tc>
                <w:tcPr/>
                <w:p>
                  <w:pPr>
                    <w:pStyle w:val="Compact"/>
                    <w:keepNext/>
                  </w:pPr>
                </w:p>
              </w:tc>
              <w:tc>
                <w:tcPr/>
                <w:p>
                  <w:pPr>
                    <w:pStyle w:val="Compact"/>
                    <w:keepNext/>
                  </w:pPr>
                </w:p>
              </w:tc>
              <w:tc>
                <w:tcPr/>
                <w:p>
                  <w:pPr>
                    <w:pStyle w:val="Compact"/>
                    <w:keepNext/>
                  </w:pPr>
                </w:p>
              </w:tc>
            </w:tr>
            <w:tr>
              <w:trPr>
                <w:cantSplit/>
              </w:trPr>
              <w:tc>
                <w:tcPr/>
                <w:p>
                  <w:pPr>
                    <w:pStyle w:val="Compact"/>
                    <w:keepNext/>
                    <w:jc w:val="left"/>
                    <w:jc w:val="center"/>
                  </w:pPr>
                  <w:r>
                    <w:t xml:space="preserve">Ålandsrapakivi</w:t>
                  </w:r>
                </w:p>
              </w:tc>
              <w:tc>
                <w:tcPr/>
                <w:p>
                  <w:pPr>
                    <w:pStyle w:val="Compact"/>
                    <w:keepNext/>
                  </w:pPr>
                </w:p>
              </w:tc>
              <w:tc>
                <w:tcPr/>
                <w:p>
                  <w:pPr>
                    <w:pStyle w:val="Compact"/>
                    <w:keepNext/>
                  </w:pPr>
                </w:p>
              </w:tc>
              <w:tc>
                <w:tcPr/>
                <w:p>
                  <w:pPr>
                    <w:pStyle w:val="Compact"/>
                    <w:keepNext/>
                  </w:pPr>
                </w:p>
              </w:tc>
            </w:tr>
            <w:tr>
              <w:trPr>
                <w:cantSplit/>
              </w:trPr>
              <w:tc>
                <w:tcPr/>
                <w:p>
                  <w:pPr>
                    <w:pStyle w:val="Compact"/>
                    <w:jc w:val="left"/>
                    <w:jc w:val="center"/>
                  </w:pPr>
                  <w:r>
                    <w:rPr>
                      <w:b/>
                      <w:bCs/>
                    </w:rPr>
                    <w:t xml:space="preserve">I alt</w:t>
                  </w:r>
                </w:p>
              </w:tc>
              <w:tc>
                <w:tcPr/>
                <w:p>
                  <w:pPr>
                    <w:pStyle w:val="Compact"/>
                  </w:pPr>
                </w:p>
              </w:tc>
              <w:tc>
                <w:tcPr/>
                <w:p>
                  <w:pPr>
                    <w:pStyle w:val="Compact"/>
                    <w:jc w:val="center"/>
                    <w:jc w:val="center"/>
                  </w:pPr>
                  <w:r>
                    <w:t xml:space="preserve">100 %</w:t>
                  </w:r>
                </w:p>
              </w:tc>
              <w:tc>
                <w:tcPr/>
                <w:p>
                  <w:pPr>
                    <w:pStyle w:val="Compact"/>
                  </w:pPr>
                </w:p>
              </w:tc>
            </w:tr>
          </w:tbl>
          <w:bookmarkEnd w:id="37"/>
          <w:p/>
        </w:tc>
      </w:tr>
    </w:tbl>
    <w:bookmarkEnd w:id="38"/>
    <w:bookmarkStart w:id="39" w:name="databehandling"/>
    <w:p>
      <w:pPr>
        <w:pStyle w:val="Heading2"/>
      </w:pPr>
      <w:r>
        <w:t xml:space="preserve">Databehandling</w:t>
      </w:r>
    </w:p>
    <w:p>
      <w:pPr>
        <w:numPr>
          <w:ilvl w:val="0"/>
          <w:numId w:val="1006"/>
        </w:numPr>
      </w:pPr>
      <w:r>
        <w:t xml:space="preserve">Udfyld afstand og retning i</w:t>
      </w:r>
      <w:r>
        <w:t xml:space="preserve"> </w:t>
      </w:r>
      <w:hyperlink w:anchor="tbl-2">
        <w:r>
          <w:rPr>
            <w:rStyle w:val="Hyperlink"/>
          </w:rPr>
          <w:t xml:space="preserve">Tabel 2</w:t>
        </w:r>
      </w:hyperlink>
      <w:r>
        <w:t xml:space="preserve">. Hvilken ledeblok er transporteret længst?</w:t>
      </w:r>
    </w:p>
    <w:p>
      <w:pPr>
        <w:numPr>
          <w:ilvl w:val="0"/>
          <w:numId w:val="1006"/>
        </w:numPr>
      </w:pPr>
      <w:r>
        <w:t xml:space="preserve">Tegn pile på et kort over Skandinavien og Østersøen fra hvert oprindelsessted til jeres skole. Farv pilene efter, hvilket isfremstød de hører til.</w:t>
      </w:r>
    </w:p>
    <w:p>
      <w:pPr>
        <w:numPr>
          <w:ilvl w:val="0"/>
          <w:numId w:val="1006"/>
        </w:numPr>
      </w:pPr>
      <w:r>
        <w:t xml:space="preserve">Hvis I har talt ledeblokke (Del 3): beregn andelen af hver slags i procent, og lav et søjlediagram. Hvilket isfremstød har efterladt flest ledeblokke dér, hvor stenene er fundet?</w:t>
      </w:r>
    </w:p>
    <w:p>
      <w:pPr>
        <w:pStyle w:val="BodyText"/>
      </w:pPr>
      <m:oMathPara>
        <m:oMathParaPr>
          <m:jc m:val="center"/>
        </m:oMathParaPr>
        <m:oMath>
          <m:r>
            <m:rPr>
              <m:nor/>
              <m:sty m:val="p"/>
            </m:rPr>
            <m:t>andel</m:t>
          </m:r>
          <m:r>
            <m:rPr>
              <m:sty m:val="p"/>
            </m:rPr>
            <m:t>=</m:t>
          </m:r>
          <m:f>
            <m:fPr>
              <m:type m:val="bar"/>
            </m:fPr>
            <m:num>
              <m:r>
                <m:rPr>
                  <m:nor/>
                  <m:sty m:val="p"/>
                </m:rPr>
                <m:t>antal af én slags ledeblok</m:t>
              </m:r>
            </m:num>
            <m:den>
              <m:r>
                <m:rPr>
                  <m:nor/>
                  <m:sty m:val="p"/>
                </m:rPr>
                <m:t>samlet antal ledeblokke</m:t>
              </m:r>
            </m:den>
          </m:f>
          <m:r>
            <m:rPr>
              <m:sty m:val="p"/>
            </m:rPr>
            <m:t>⋅</m:t>
          </m:r>
          <m:r>
            <m:t>100</m:t>
          </m:r>
          <m:r>
            <m:t> </m:t>
          </m:r>
          <m:r>
            <m:rPr>
              <m:sty m:val="p"/>
            </m:rPr>
            <m:t>%</m:t>
          </m:r>
        </m:oMath>
      </m:oMathPara>
    </w:p>
    <w:p>
      <w:pPr>
        <w:numPr>
          <w:ilvl w:val="0"/>
          <w:numId w:val="1006"/>
        </w:numPr>
      </w:pPr>
      <w:r>
        <w:t xml:space="preserve">Sammenlign med en anden gruppe eller et andet findested. Er fordelingen den samme?</w:t>
      </w:r>
    </w:p>
    <w:bookmarkEnd w:id="39"/>
    <w:bookmarkStart w:id="40" w:name="journalspørgsmål"/>
    <w:p>
      <w:pPr>
        <w:pStyle w:val="Heading2"/>
      </w:pPr>
      <w:r>
        <w:t xml:space="preserve">Journalspørgsmål</w:t>
      </w:r>
    </w:p>
    <w:p>
      <w:pPr>
        <w:pStyle w:val="Compact"/>
        <w:numPr>
          <w:ilvl w:val="0"/>
          <w:numId w:val="1007"/>
        </w:numPr>
      </w:pPr>
      <w:r>
        <w:t xml:space="preserve">Hvad er en ledeblok, og hvorfor er det vigtigt at kende dens oprindelsessted?</w:t>
      </w:r>
    </w:p>
    <w:p>
      <w:pPr>
        <w:pStyle w:val="Compact"/>
        <w:numPr>
          <w:ilvl w:val="0"/>
          <w:numId w:val="1007"/>
        </w:numPr>
      </w:pPr>
      <w:r>
        <w:t xml:space="preserve">Hvorfor er det kun nogle få bjergarter, der kan bruges som ledeblokke? Hvorfor kan fx almindelig granit ikke bruges?</w:t>
      </w:r>
    </w:p>
    <w:p>
      <w:pPr>
        <w:pStyle w:val="Compact"/>
        <w:numPr>
          <w:ilvl w:val="0"/>
          <w:numId w:val="1007"/>
        </w:numPr>
      </w:pPr>
      <w:r>
        <w:t xml:space="preserve">Hvis man finder både larvikit og rhombeporfyr i en grusgrav, hvad fortæller det så om isens bevægelse i det område?</w:t>
      </w:r>
    </w:p>
    <w:p>
      <w:pPr>
        <w:pStyle w:val="Compact"/>
        <w:numPr>
          <w:ilvl w:val="0"/>
          <w:numId w:val="1007"/>
        </w:numPr>
      </w:pPr>
      <w:r>
        <w:t xml:space="preserve">I Nordjylland er der mange norske ledeblokke, mens østersøkvartsporfyr er almindelige i Sydøstdanmark. Forklar fordelingen ud fra de tre isfremstød.</w:t>
      </w:r>
    </w:p>
    <w:p>
      <w:pPr>
        <w:pStyle w:val="Compact"/>
        <w:numPr>
          <w:ilvl w:val="0"/>
          <w:numId w:val="1007"/>
        </w:numPr>
      </w:pPr>
      <w:r>
        <w:t xml:space="preserve">Hvorfor kan man finde ledeblokke fra flere forskellige isfremstød samme sted?</w:t>
      </w:r>
    </w:p>
    <w:p>
      <w:pPr>
        <w:pStyle w:val="Compact"/>
        <w:numPr>
          <w:ilvl w:val="0"/>
          <w:numId w:val="1007"/>
        </w:numPr>
      </w:pPr>
      <w:r>
        <w:t xml:space="preserve">Hvorfor er stenene i en moræne ofte kantede eller kun lidt afrundede, mens sten på en strand er rundslidte? Hvad siger det om, hvordan de er transporteret?</w:t>
      </w:r>
    </w:p>
    <w:p>
      <w:pPr>
        <w:pStyle w:val="Compact"/>
        <w:numPr>
          <w:ilvl w:val="0"/>
          <w:numId w:val="1007"/>
        </w:numPr>
      </w:pPr>
      <w:r>
        <w:t xml:space="preserve">Hvilke fejlkilder er der ved bestemmelse af ledeblokke? Tænk på forveksling med andre bjergarter, og at nogle ledeblokke kun er sjældne i en stenbunke.</w:t>
      </w:r>
    </w:p>
    <w:bookmarkEnd w:id="40"/>
    <w:bookmarkStart w:id="41" w:name="om-denne-udgave"/>
    <w:p>
      <w:pPr>
        <w:pStyle w:val="Heading2"/>
      </w:pPr>
      <w:r>
        <w:t xml:space="preserve">Om denne udgave</w:t>
      </w:r>
    </w:p>
    <w:p>
      <w:pPr>
        <w:pStyle w:val="FirstParagraph"/>
      </w:pPr>
      <w:r>
        <w:t xml:space="preserve">Bygger på laboratorieøvelsen «Ledeblokke» fra NF-forløbet</w:t>
      </w:r>
      <w:r>
        <w:t xml:space="preserve"> </w:t>
      </w:r>
      <w:r>
        <w:rPr>
          <w:i/>
          <w:iCs/>
        </w:rPr>
        <w:t xml:space="preserve">Mammutter</w:t>
      </w:r>
      <w:r>
        <w:t xml:space="preserve"> </w:t>
      </w:r>
      <w:r>
        <w:t xml:space="preserve">2025/26 og den tilsvarende øvelse i naturgeografi C (Geolink,</w:t>
      </w:r>
      <w:r>
        <w:t xml:space="preserve"> </w:t>
      </w:r>
      <w:r>
        <w:rPr>
          <w:i/>
          <w:iCs/>
        </w:rPr>
        <w:t xml:space="preserve">Vand og jord</w:t>
      </w:r>
      <w:r>
        <w:t xml:space="preserve">, 2025/26). Spørgsmålene om ledeblokkenes definition, det norske isfremstød, identifikation af stenprøver og konklusionen om larvikit og rhombeporfyr er ført videre. Ændret i forhold til originalen:</w:t>
      </w:r>
    </w:p>
    <w:p>
      <w:pPr>
        <w:pStyle w:val="Compact"/>
        <w:numPr>
          <w:ilvl w:val="0"/>
          <w:numId w:val="1008"/>
        </w:numPr>
      </w:pPr>
      <w:r>
        <w:t xml:space="preserve">Originalen byggede på en scannet lærebogsside med kort og fotos, som ikke kan bruges på en offentlig hjemmeside. Den er erstattet af en tabel over ledeblokke og deres oprindelsessteder, et baggrundsafsnit om de tre isfremstød og links til fotos i sitets egen stensamling.</w:t>
      </w:r>
    </w:p>
    <w:p>
      <w:pPr>
        <w:pStyle w:val="Compact"/>
        <w:numPr>
          <w:ilvl w:val="0"/>
          <w:numId w:val="1008"/>
        </w:numPr>
      </w:pPr>
      <w:r>
        <w:t xml:space="preserve">Nyt: eleverne finder selv oprindelsesstederne i Google Earth, måler afstand og retning, og kan som en valgfri del tælle ledeblokke i en stenbunke med procentberegning og søjlediagram.</w:t>
      </w:r>
    </w:p>
    <w:p>
      <w:pPr>
        <w:pStyle w:val="Compact"/>
        <w:numPr>
          <w:ilvl w:val="0"/>
          <w:numId w:val="1008"/>
        </w:numPr>
      </w:pPr>
      <w:r>
        <w:t xml:space="preserve">Journalspørgsmålene er udvidet med fordelingen af ledeblokke i Danmark, blandede isfremstød og stenenes form.</w:t>
      </w:r>
    </w:p>
    <w:bookmarkEnd w:id="41"/>
    <w:sectPr>
      <w:headerReference r:id="rId7" w:type="default"/>
      <w:footerReference r:id="rId8" w:type="default"/>
      <w:pgSz w:h="16838" w:orient="portrait" w:w="11906"/>
      <w:pgMar w:bottom="1224" w:footer="500" w:gutter="0" w:header="500" w:left="1152" w:right="1152" w:top="1224"/>
      <w:pgNumType/>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http://schemas.openxmlformats.org/wordprocessingml/2006/main">
  <w:p>
    <w:pPr>
      <w:pBdr>
        <w:top w:val="single" w:color="A9BBA1" w:sz="4" w:space="6"/>
      </w:pBdr>
      <w:tabs>
        <w:tab w:val="right" w:pos="9026"/>
      </w:tabs>
    </w:pPr>
    <w:r>
      <w:rPr>
        <w:rFonts w:ascii="Calibri" w:cs="Calibri" w:eastAsia="Calibri" w:hAnsi="Calibri"/>
        <w:i/>
        <w:iCs/>
        <w:color w:val="6B7A66"/>
        <w:sz w:val="16"/>
        <w:szCs w:val="16"/>
      </w:rPr>
      <w:t xml:space="preserve">Øvelsesvejledning</w:t>
    </w:r>
    <w:r>
      <w:rPr>
        <w:rFonts w:ascii="Calibri" w:cs="Calibri" w:eastAsia="Calibri" w:hAnsi="Calibri"/>
      </w:rPr>
      <w:t xml:space="preserve">	</w:t>
    </w:r>
    <w:r>
      <w:rPr>
        <w:rFonts w:ascii="Calibri" w:cs="Calibri" w:eastAsia="Calibri" w:hAnsi="Calibri"/>
        <w:color w:val="6B7A66"/>
        <w:sz w:val="16"/>
        <w:szCs w:val="16"/>
      </w:rPr>
      <w:t xml:space="preserve">Side </w:t>
    </w:r>
    <w:r>
      <w:rPr>
        <w:rFonts w:ascii="Calibri" w:cs="Calibri" w:eastAsia="Calibri" w:hAnsi="Calibri"/>
        <w:color w:val="6B7A66"/>
        <w:sz w:val="16"/>
        <w:szCs w:val="16"/>
      </w:rPr>
      <w:fldChar w:fldCharType="begin"/>
      <w:instrText xml:space="preserve">PAGE</w:instrText>
      <w:fldChar w:fldCharType="separate"/>
      <w:fldChar w:fldCharType="end"/>
    </w:r>
    <w:r>
      <w:rPr>
        <w:rFonts w:ascii="Calibri" w:cs="Calibri" w:eastAsia="Calibri" w:hAnsi="Calibri"/>
        <w:color w:val="6B7A66"/>
        <w:sz w:val="16"/>
        <w:szCs w:val="16"/>
      </w:rPr>
      <w:t xml:space="preserve"> af </w:t>
    </w:r>
    <w:r>
      <w:rPr>
        <w:rFonts w:ascii="Calibri" w:cs="Calibri" w:eastAsia="Calibri" w:hAnsi="Calibri"/>
        <w:color w:val="6B7A66"/>
        <w:sz w:val="16"/>
        <w:szCs w:val="16"/>
      </w:rPr>
      <w:fldChar w:fldCharType="begin"/>
      <w:instrText xml:space="preserve">NUMPAGES</w:instrText>
      <w:fldChar w:fldCharType="separate"/>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w:p>
    <w:pPr>
      <w:pBdr>
        <w:bottom w:val="single" w:color="A9BBA1" w:sz="4" w:space="6"/>
      </w:pBdr>
      <w:tabs>
        <w:tab w:val="right" w:pos="9026"/>
      </w:tabs>
      <w:spacing w:after="0"/>
    </w:pPr>
    <w:r>
      <w:rPr>
        <w:rFonts w:ascii="Calibri" w:cs="Calibri" w:eastAsia="Calibri" w:hAnsi="Calibri"/>
        <w:b/>
        <w:bCs/>
        <w:color w:val="6B7A66"/>
        <w:spacing w:val="18"/>
        <w:sz w:val="16"/>
        <w:szCs w:val="16"/>
      </w:rPr>
      <w:t xml:space="preserve">NATURGEOGRAFI</w:t>
    </w:r>
    <w:r>
      <w:rPr>
        <w:rFonts w:ascii="Calibri" w:cs="Calibri" w:eastAsia="Calibri" w:hAnsi="Calibri"/>
      </w:rPr>
      <w:t xml:space="preserve">	</w:t>
    </w:r>
    <w:r>
      <w:rPr>
        <w:rFonts w:ascii="Calibri" w:cs="Calibri" w:eastAsia="Calibri" w:hAnsi="Calibri"/>
        <w:color w:val="6B7A66"/>
        <w:spacing w:val="10"/>
        <w:sz w:val="16"/>
        <w:szCs w:val="16"/>
      </w:rPr>
      <w:t xml:space="preserve"/>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15:restartNumberingAfterBreak="0" w:abstractNumId="1">
    <w:multiLevelType w:val="hybridMultilevel"/>
    <w:lvl w15:tentative="1" w:ilvl="0">
      <w:start w:val="1"/>
      <w:numFmt w:val="bullet"/>
      <w:lvlText w:val="●"/>
      <w:lvlJc w:val="left"/>
      <w:pPr>
        <w:ind w:hanging="360" w:left="720"/>
      </w:pPr>
    </w:lvl>
    <w:lvl w15:tentative="1" w:ilvl="1">
      <w:start w:val="1"/>
      <w:numFmt w:val="bullet"/>
      <w:lvlText w:val="○"/>
      <w:lvlJc w:val="left"/>
      <w:pPr>
        <w:ind w:hanging="360" w:left="1440"/>
      </w:pPr>
    </w:lvl>
    <w:lvl w15:tentative="1" w:ilvl="2">
      <w:start w:val="1"/>
      <w:numFmt w:val="bullet"/>
      <w:lvlText w:val="■"/>
      <w:lvlJc w:val="left"/>
      <w:pPr>
        <w:ind w:hanging="360" w:left="2160"/>
      </w:pPr>
    </w:lvl>
    <w:lvl w15:tentative="1" w:ilvl="3">
      <w:start w:val="1"/>
      <w:numFmt w:val="bullet"/>
      <w:lvlText w:val="●"/>
      <w:lvlJc w:val="left"/>
      <w:pPr>
        <w:ind w:hanging="360" w:left="2880"/>
      </w:pPr>
    </w:lvl>
    <w:lvl w15:tentative="1" w:ilvl="4">
      <w:start w:val="1"/>
      <w:numFmt w:val="bullet"/>
      <w:lvlText w:val="○"/>
      <w:lvlJc w:val="left"/>
      <w:pPr>
        <w:ind w:hanging="360" w:left="3600"/>
      </w:pPr>
    </w:lvl>
    <w:lvl w15:tentative="1" w:ilvl="5">
      <w:start w:val="1"/>
      <w:numFmt w:val="bullet"/>
      <w:lvlText w:val="■"/>
      <w:lvlJc w:val="left"/>
      <w:pPr>
        <w:ind w:hanging="360" w:left="4320"/>
      </w:pPr>
    </w:lvl>
    <w:lvl w15:tentative="1" w:ilvl="6">
      <w:start w:val="1"/>
      <w:numFmt w:val="bullet"/>
      <w:lvlText w:val="●"/>
      <w:lvlJc w:val="left"/>
      <w:pPr>
        <w:ind w:hanging="360" w:left="5040"/>
      </w:pPr>
    </w:lvl>
    <w:lvl w15:tentative="1" w:ilvl="7">
      <w:start w:val="1"/>
      <w:numFmt w:val="bullet"/>
      <w:lvlText w:val="●"/>
      <w:lvlJc w:val="left"/>
      <w:pPr>
        <w:ind w:hanging="360" w:left="5760"/>
      </w:pPr>
    </w:lvl>
    <w:lvl w15:tentative="1" w:ilvl="8">
      <w:start w:val="1"/>
      <w:numFmt w:val="bullet"/>
      <w:lvlText w:val="●"/>
      <w:lvlJc w:val="left"/>
      <w:pPr>
        <w:ind w:hanging="360" w:left="6480"/>
      </w:pPr>
    </w:lvl>
  </w:abstractNum>
  <w:abstractNum w15:restartNumberingAfterBreak="0" w:abstractNumId="2">
    <w:multiLevelType w:val="hybridMultilevel"/>
    <w:lvl w15:tentative="1" w:ilvl="0">
      <w:start w:val="1"/>
      <w:numFmt w:val="decimal"/>
      <w:lvlText w:val="%1."/>
      <w:lvlJc w:val="start"/>
      <w:pPr>
        <w:ind w:hanging="300" w:left="420"/>
      </w:pPr>
    </w:lvl>
  </w:abstractNum>
  <w:abstractNum w15:restartNumberingAfterBreak="0" w:abstractNumId="3">
    <w:multiLevelType w:val="hybridMultilevel"/>
    <w:lvl w15:tentative="1" w:ilvl="0">
      <w:start w:val="1"/>
      <w:numFmt w:val="bullet"/>
      <w:lvlText w:val="–"/>
      <w:lvlJc w:val="start"/>
      <w:pPr>
        <w:ind w:hanging="200" w:left="32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5">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displayBackgroundShape/>
  <w:embedSystemFonts/>
  <w:proofState w:grammar="clean" w:spelling="clean"/>
  <w:stylePaneFormatFilter w:val="0004"/>
  <w:doNotTrackMoves/>
  <w:defaultTabStop w:val="720"/>
  <w:evenAndOddHeaders w:val="false"/>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6332B"/>
        <w:sz w:val="22"/>
        <w:szCs w:val="22"/>
        <w:lang w:val="da"/>
      </w:rPr>
    </w:rPrDefault>
    <w:pPrDefault>
      <w:pPr>
        <w:spacing w:after="140" w:line="276" w:lineRule="auto"/>
      </w:pPr>
    </w:pPrDefault>
  </w:docDefaults>
  <w:style w:default="1" w:styleId="Normal" w:type="paragraph">
    <w:name w:val="Normal"/>
    <w:qFormat/>
  </w:style>
  <w:style w:styleId="Title" w:type="paragraph">
    <w:name w:val="Title"/>
    <w:basedOn w:val="Normal"/>
    <w:next w:val="Normal"/>
    <w:qFormat/>
    <w:pPr>
      <w:spacing w:after="80" w:before="40"/>
    </w:pPr>
    <w:rPr>
      <w:b/>
      <w:bCs/>
      <w:color w:val="2C4527"/>
      <w:sz w:val="52"/>
      <w:szCs w:val="52"/>
    </w:rPr>
  </w:style>
  <w:style w:styleId="Subtitle" w:type="paragraph">
    <w:name w:val="Subtitle"/>
    <w:basedOn w:val="Normal"/>
    <w:next w:val="Normal"/>
    <w:qFormat/>
    <w:pPr>
      <w:spacing w:after="220" w:before="0"/>
    </w:pPr>
    <w:rPr>
      <w:color w:val="6B7A66"/>
      <w:sz w:val="20"/>
    </w:rPr>
  </w:style>
  <w:style w:styleId="Heading1" w:type="paragraph">
    <w:name w:val="Heading 1"/>
    <w:basedOn w:val="Normal"/>
    <w:next w:val="Normal"/>
    <w:qFormat/>
    <w:pPr>
      <w:pBdr>
        <w:left w:color="3F5F3A" w:space="8" w:sz="18" w:val="single"/>
      </w:pBdr>
      <w:spacing w:after="140" w:before="320"/>
      <w:ind w:left="140"/>
    </w:pPr>
    <w:rPr>
      <w:b/>
      <w:bCs/>
      <w:color w:val="2C4527"/>
      <w:sz w:val="32"/>
      <w:szCs w:val="32"/>
    </w:rPr>
  </w:style>
  <w:style w:styleId="Heading2" w:type="paragraph">
    <w:name w:val="Heading 2"/>
    <w:basedOn w:val="Normal"/>
    <w:next w:val="Normal"/>
    <w:qFormat/>
    <w:pPr>
      <w:pBdr>
        <w:left w:color="3F5F3A" w:space="8" w:sz="18" w:val="single"/>
      </w:pBdr>
      <w:spacing w:after="120" w:before="300"/>
      <w:ind w:left="140"/>
    </w:pPr>
    <w:rPr>
      <w:b/>
      <w:bCs/>
      <w:color w:val="2C4527"/>
      <w:sz w:val="27"/>
      <w:szCs w:val="27"/>
    </w:rPr>
  </w:style>
  <w:style w:styleId="Heading3" w:type="paragraph">
    <w:name w:val="Heading 3"/>
    <w:basedOn w:val="Normal"/>
    <w:next w:val="Normal"/>
    <w:qFormat/>
    <w:pPr>
      <w:spacing w:after="100" w:before="200"/>
    </w:pPr>
    <w:rPr>
      <w:b/>
      <w:bCs/>
      <w:color w:val="3F5F3A"/>
      <w:sz w:val="24"/>
      <w:szCs w:val="24"/>
    </w:rPr>
  </w:style>
  <w:style w:styleId="Heading4" w:type="paragraph">
    <w:name w:val="Heading 4"/>
    <w:basedOn w:val="Normal"/>
    <w:next w:val="Normal"/>
    <w:qFormat/>
    <w:rPr>
      <w:i/>
      <w:iCs/>
      <w:color w:val="3F5F3A"/>
    </w:rPr>
  </w:style>
  <w:style w:styleId="Heading5" w:type="paragraph">
    <w:name w:val="Heading 5"/>
    <w:basedOn w:val="Normal"/>
    <w:next w:val="Normal"/>
    <w:qFormat/>
    <w:rPr>
      <w:color w:val="3F5F3A"/>
    </w:rPr>
  </w:style>
  <w:style w:styleId="Heading6" w:type="paragraph">
    <w:name w:val="Heading 6"/>
    <w:basedOn w:val="Normal"/>
    <w:next w:val="Normal"/>
    <w:qFormat/>
    <w:rPr>
      <w:color w:val="6B7A66"/>
    </w:rPr>
  </w:style>
  <w:style w:styleId="Strong" w:type="paragraph">
    <w:name w:val="Strong"/>
    <w:basedOn w:val="Normal"/>
    <w:next w:val="Normal"/>
    <w:qFormat/>
    <w:rPr>
      <w:b/>
      <w:bCs/>
    </w:rPr>
  </w:style>
  <w:style w:styleId="ListParagraph" w:type="paragraph">
    <w:name w:val="List Paragraph"/>
    <w:basedOn w:val="Normal"/>
    <w:qFormat/>
  </w:style>
  <w:style w:styleId="BodyText" w:type="paragraph">
    <w:name w:val="Body Text"/>
    <w:basedOn w:val="Normal"/>
    <w:next w:val="Normal"/>
    <w:qFormat/>
  </w:style>
  <w:style w:styleId="FirstParagraph" w:type="paragraph">
    <w:name w:val="First Paragraph"/>
    <w:basedOn w:val="Normal"/>
    <w:next w:val="Normal"/>
    <w:qFormat/>
    <w:pPr>
      <w:spacing w:before="0"/>
    </w:pPr>
  </w:style>
  <w:style w:styleId="Compact" w:type="paragraph">
    <w:name w:val="Compact"/>
    <w:basedOn w:val="ListParagraph"/>
    <w:next w:val="Compact"/>
    <w:qFormat/>
    <w:pPr>
      <w:spacing w:after="90" w:line="276" w:lineRule="auto"/>
    </w:pPr>
  </w:style>
  <w:style w:styleId="CaptionedFigure" w:type="paragraph">
    <w:name w:val="Captioned Figure"/>
    <w:basedOn w:val="Normal"/>
    <w:next w:val="Normal"/>
    <w:qFormat/>
    <w:pPr>
      <w:spacing w:after="0" w:before="120"/>
      <w:jc w:val="center"/>
    </w:pPr>
  </w:style>
  <w:style w:styleId="Caption" w:type="paragraph">
    <w:name w:val="Caption"/>
    <w:basedOn w:val="Normal"/>
    <w:next w:val="Normal"/>
    <w:qFormat/>
    <w:pPr>
      <w:spacing w:after="220" w:before="100"/>
      <w:jc w:val="center"/>
    </w:pPr>
    <w:rPr>
      <w:i/>
      <w:iCs/>
      <w:color w:val="6B7A66"/>
      <w:sz w:val="19"/>
      <w:szCs w:val="19"/>
    </w:rPr>
  </w:style>
  <w:style w:styleId="ImageCaption" w:type="paragraph">
    <w:name w:val="Image Caption"/>
    <w:basedOn w:val="Caption"/>
    <w:next w:val="Normal"/>
    <w:qFormat/>
  </w:style>
  <w:style w:styleId="Table" w:type="table">
    <w:name w:val="Table"/>
    <w:basedOn w:val="TableNormal"/>
    <w:uiPriority w:val="99"/>
    <w:pPr>
      <w:spacing w:after="0" w:line="256" w:lineRule="auto"/>
    </w:pPr>
    <w:tblPr>
      <w:tblBorders>
        <w:top w:color="8FA085" w:space="0" w:sz="4" w:val="single"/>
        <w:left w:color="8FA085" w:space="0" w:sz="4" w:val="single"/>
        <w:bottom w:color="8FA085" w:space="0" w:sz="4" w:val="single"/>
        <w:right w:color="8FA085" w:space="0" w:sz="4" w:val="single"/>
        <w:insideH w:color="C7D0C0" w:space="0" w:sz="4" w:val="single"/>
        <w:insideV w:color="C7D0C0" w:space="0" w:sz="4" w:val="single"/>
      </w:tblBorders>
    </w:tblPr>
    <w:tcPr>
      <w:tcMar>
        <w:top w:type="dxa" w:w="90"/>
        <w:left w:type="dxa" w:w="120"/>
        <w:bottom w:type="dxa" w:w="90"/>
        <w:right w:type="dxa" w:w="120"/>
      </w:tcMar>
    </w:tcPr>
  </w:style>
  <w:style w:default="1" w:styleId="TableNormal" w:type="table">
    <w:name w:val="Normal Table"/>
    <w:uiPriority w:val="99"/>
    <w:semiHidden/>
    <w:unhideWhenUsed/>
    <w:tblPr>
      <w:tblCellMar>
        <w:top w:type="dxa" w:w="0"/>
        <w:left w:type="dxa" w:w="108"/>
        <w:bottom w:type="dxa" w:w="0"/>
        <w:right w:type="dxa" w:w="108"/>
      </w:tblCellMar>
    </w:tblPr>
  </w:style>
  <w:style w:styleId="FirstRow" w:type="table">
    <w:name w:val="First Row"/>
    <w:basedOn w:val="Table"/>
    <w:uiPriority w:val="99"/>
  </w:style>
  <w:style w:styleId="Hyperlink" w:type="character">
    <w:name w:val="Hyperlink"/>
    <w:basedOn w:val="DefaultParagraphFont"/>
    <w:uiPriority w:val="99"/>
    <w:unhideWhenUsed/>
    <w:rPr>
      <w:color w:val="1F5F8B"/>
      <w:u w:val="single"/>
    </w:rPr>
  </w:style>
  <w:style w:styleId="FootnoteReference" w:type="character">
    <w:name w:val="footnote reference"/>
    <w:basedOn w:val="DefaultParagraphFont"/>
    <w:uiPriority w:val="99"/>
    <w:semiHidden/>
    <w:unhideWhenUsed/>
    <w:rPr>
      <w:vertAlign w:val="superscript"/>
    </w:rPr>
  </w:style>
  <w:style w:styleId="FootnoteText" w:type="paragraph">
    <w:name w:val="footnote text"/>
    <w:basedOn w:val="Normal"/>
    <w:link w:val="FootnoteTextChar"/>
    <w:uiPriority w:val="99"/>
    <w:semiHidden/>
    <w:unhideWhenUsed/>
    <w:pPr>
      <w:spacing w:after="0" w:line="240" w:lineRule="auto"/>
    </w:pPr>
    <w:rPr>
      <w:sz w:val="20"/>
      <w:szCs w:val="20"/>
    </w:rPr>
  </w:style>
  <w:style w:styleId="FootnoteTextChar" w:type="character">
    <w:name w:val="Footnote Text Char"/>
    <w:basedOn w:val="DefaultParagraphFont"/>
    <w:link w:val="FootnoteText"/>
    <w:uiPriority w:val="99"/>
    <w:semiHidden/>
    <w:unhideWhenUsed/>
    <w:rPr>
      <w:sz w:val="20"/>
      <w:szCs w:val="20"/>
    </w:rPr>
  </w:style>
  <w:style w:styleId="EndnoteReference" w:type="character">
    <w:name w:val="endnote reference"/>
    <w:basedOn w:val="DefaultParagraphFont"/>
    <w:uiPriority w:val="99"/>
    <w:semiHidden/>
    <w:unhideWhenUsed/>
    <w:rPr>
      <w:vertAlign w:val="superscript"/>
    </w:rPr>
  </w:style>
  <w:style w:styleId="EndnoteText" w:type="paragraph">
    <w:name w:val="endnote text"/>
    <w:basedOn w:val="Normal"/>
    <w:link w:val="EndnoteTextChar"/>
    <w:uiPriority w:val="99"/>
    <w:semiHidden/>
    <w:unhideWhenUsed/>
    <w:pPr>
      <w:spacing w:after="0" w:line="240" w:lineRule="auto"/>
    </w:pPr>
    <w:rPr>
      <w:sz w:val="20"/>
      <w:szCs w:val="20"/>
    </w:rPr>
  </w:style>
  <w:style w:styleId="EndnoteTextChar" w:type="character">
    <w:name w:val="Endnote Text Char"/>
    <w:basedOn w:val="DefaultParagraphFont"/>
    <w:link w:val="EndnoteText"/>
    <w:uiPriority w:val="99"/>
    <w:semiHidden/>
    <w:unhideWhenUsed/>
    <w:rPr>
      <w:sz w:val="20"/>
      <w:szCs w:val="20"/>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Type="http://schemas.openxmlformats.org/officeDocument/2006/relationships/numbering" Id="rId18" Target="numbering.xml" /><Relationship Type="http://schemas.openxmlformats.org/officeDocument/2006/relationships/styles" Id="rId17" Target="styles.xml" /><Relationship Type="http://schemas.openxmlformats.org/officeDocument/2006/relationships/settings" Id="rId16" Target="settings.xml" /><Relationship Type="http://schemas.openxmlformats.org/officeDocument/2006/relationships/webSettings" Id="rId15" Target="webSettings.xml" /><Relationship Type="http://schemas.openxmlformats.org/officeDocument/2006/relationships/fontTable" Id="rId14" Target="fontTable.xml" /><Relationship Type="http://schemas.openxmlformats.org/officeDocument/2006/relationships/theme" Id="rId13" Target="theme/theme1.xml" /><Relationship Type="http://schemas.openxmlformats.org/officeDocument/2006/relationships/footnotes" Id="rId12" Target="footnotes.xml" /><Relationship Type="http://schemas.openxmlformats.org/officeDocument/2006/relationships/comments" Id="rId11" Target="comments.xml" /><Relationship Id="rId7" Target="header1.xml" Type="http://schemas.openxmlformats.org/officeDocument/2006/relationships/header" /><Relationship Id="rId8" Target="footer1.xml" Type="http://schemas.openxmlformats.org/officeDocument/2006/relationships/footer" /><Relationship Id="rId9" Target="media/ff4355ab3d7b3fb047ac1bb9b81f09919282c810.png" Type="http://schemas.openxmlformats.org/officeDocument/2006/relationships/image" /><Relationship Id="rId10" Target="media/22118e1eede36edf4136c10d3e20d9ff95fafa9e.png" Type="http://schemas.openxmlformats.org/officeDocument/2006/relationships/image" /><Relationship Type="http://schemas.openxmlformats.org/officeDocument/2006/relationships/image" Id="rId28" Target="media/rId28.png" /><Relationship Type="http://schemas.openxmlformats.org/officeDocument/2006/relationships/image" Id="rId21" Target="media/rId21.png" /><Relationship Type="http://schemas.openxmlformats.org/officeDocument/2006/relationships/hyperlink" Id="rId24" Target="https://smbi.dk/geografi/stensamling.html?sten=MA-06" TargetMode="External" /><Relationship Type="http://schemas.openxmlformats.org/officeDocument/2006/relationships/hyperlink" Id="rId27" Target="https://smbi.dk/geografi/stensamling.html?sten=MA-14" TargetMode="External" /><Relationship Type="http://schemas.openxmlformats.org/officeDocument/2006/relationships/hyperlink" Id="rId26" Target="https://smbi.dk/geografi/stensamling.html?sten=MA-15" TargetMode="External" /><Relationship Type="http://schemas.openxmlformats.org/officeDocument/2006/relationships/hyperlink" Id="rId25" Target="https://smbi.dk/geografi/stensamling.html?sten=MA-17" TargetMode="External" /></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Relationship Type="http://schemas.openxmlformats.org/officeDocument/2006/relationships/hyperlink" Id="rId24" Target="https://smbi.dk/geografi/stensamling.html?sten=MA-06" TargetMode="External" /><Relationship Type="http://schemas.openxmlformats.org/officeDocument/2006/relationships/hyperlink" Id="rId27" Target="https://smbi.dk/geografi/stensamling.html?sten=MA-14" TargetMode="External" /><Relationship Type="http://schemas.openxmlformats.org/officeDocument/2006/relationships/hyperlink" Id="rId26" Target="https://smbi.dk/geografi/stensamling.html?sten=MA-15" TargetMode="External" /><Relationship Type="http://schemas.openxmlformats.org/officeDocument/2006/relationships/hyperlink" Id="rId25" Target="https://smbi.dk/geografi/stensamling.html?sten=MA-17" TargetMode="External" /></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Ledeblokke</dc:title>
  <dc:creator/>
  <dc:language>da</dc:language>
  <cp:keywords/>
  <dcterms:created xsi:type="dcterms:W3CDTF">2026-10-14T12:52:03Z</dcterms:created>
  <dcterms:modified xsi:type="dcterms:W3CDTF">2026-10-14T12:52:03Z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doc-type">
    <vt:lpwstr>Øvelsesvejledning</vt:lpwstr>
  </property>
  <property fmtid="{D5CDD505-2E9C-101B-9397-08002B2CF9AE}" pid="4" name="fag">
    <vt:lpwstr>Naturgeografi</vt:lpwstr>
  </property>
  <property fmtid="{D5CDD505-2E9C-101B-9397-08002B2CF9AE}" pid="5" name="header-includes">
    <vt:lpwstr/>
  </property>
  <property fmtid="{D5CDD505-2E9C-101B-9397-08002B2CF9AE}" pid="6" name="hold">
    <vt:lpwstr/>
  </property>
  <property fmtid="{D5CDD505-2E9C-101B-9397-08002B2CF9AE}" pid="7" name="include-after">
    <vt:lpwstr/>
  </property>
  <property fmtid="{D5CDD505-2E9C-101B-9397-08002B2CF9AE}" pid="8" name="include-before">
    <vt:lpwstr/>
  </property>
  <property fmtid="{D5CDD505-2E9C-101B-9397-08002B2CF9AE}" pid="9" name="labels">
    <vt:lpwstr/>
  </property>
  <property fmtid="{D5CDD505-2E9C-101B-9397-08002B2CF9AE}" pid="10" name="subtitle">
    <vt:lpwstr>Hvor kom isen fra? Spor istidens sten tilbage til Norge, Sverige og Østersøen</vt:lpwstr>
  </property>
  <property fmtid="{D5CDD505-2E9C-101B-9397-08002B2CF9AE}" pid="11" name="toc-title">
    <vt:lpwstr>Indholdsfortegnelse</vt:lpwstr>
  </property>
</Properties>
</file>