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7.png" ContentType="image/png"/>
  <Override PartName="/word/media/rId24.png" ContentType="image/png"/>
  <Override PartName="/word/media/ff4355ab3d7b3fb047ac1bb9b81f09919282c810.png" ContentType="image/png"/>
  <Override PartName="/word/media/22118e1eede36edf4136c10d3e20d9ff95fafa9e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a="http://schemas.openxmlformats.org/drawingml/2006/main" xmlns:m="http://schemas.openxmlformats.org/officeDocument/2006/math" xmlns:pic="http://schemas.openxmlformats.org/drawingml/2006/picture" xmlns:r="http://schemas.openxmlformats.org/officeDocument/2006/relationships" xmlns:w="http://schemas.openxmlformats.org/wordprocessingml/2006/main" xmlns:wp="http://schemas.openxmlformats.org/drawingml/2006/wordprocessingDrawing">
  <w:body>
    <w:p>
      <w:pPr>
        <w:pStyle w:val="Title"/>
      </w:pPr>
      <w:r>
        <w:t xml:space="preserve">Grønlandspumpen</w:t>
      </w:r>
    </w:p>
    <w:p>
      <w:pPr>
        <w:pStyle w:val="Subtitle"/>
      </w:pPr>
      <w:r>
        <w:t xml:space="preserve">Modelforsøg om den termohaline cirkulation</w:t>
      </w:r>
    </w:p>
    <w:p>
      <w:pPr>
        <w:pStyle w:val="FirstParagraph"/>
      </w:pPr>
      <w:r>
        <w:rPr>
          <w:b/>
          <w:bCs/>
        </w:rPr>
        <w:t xml:space="preserve">Dato:</w:t>
      </w:r>
      <w:r>
        <w:t xml:space="preserve"> </w:t>
      </w:r>
      <w:r>
        <w:t xml:space="preserve">____________________     </w:t>
      </w:r>
      <w:r>
        <w:t xml:space="preserve"> </w:t>
      </w:r>
      <w:r>
        <w:rPr>
          <w:b/>
          <w:bCs/>
        </w:rPr>
        <w:t xml:space="preserve">Gruppe / navne:</w:t>
      </w:r>
      <w:r>
        <w:t xml:space="preserve"> </w:t>
      </w:r>
      <w:r>
        <w:t xml:space="preserve">____________________________________________</w:t>
      </w:r>
    </w:p>
    <w:bookmarkStart w:id="19" w:name="om-øvelsen"/>
    <w:p>
      <w:pPr>
        <w:pStyle w:val="Heading2"/>
      </w:pPr>
      <w:r>
        <w:t xml:space="preserve">Om øvelsen</w:t>
      </w:r>
    </w:p>
    <w:p>
      <w:pPr>
        <w:pStyle w:val="FirstParagraph"/>
      </w:pPr>
      <w:r>
        <w:t xml:space="preserve">I skal bygge en model af</w:t>
      </w:r>
      <w:r>
        <w:t xml:space="preserve"> </w:t>
      </w:r>
      <w:r>
        <w:rPr>
          <w:b/>
          <w:bCs/>
        </w:rPr>
        <w:t xml:space="preserve">Grønlandspumpen</w:t>
      </w:r>
      <w:r>
        <w:t xml:space="preserve"> </w:t>
      </w:r>
      <w:r>
        <w:t xml:space="preserve">— den cirkulation, hvor koldt og salt havvand synker til bunds ud for Grønlands kyst, mens Golfstrømmen fører nyt, varmt vand nordpå til erstatning. I et gennemsigtigt kar undersøger I først, hvordan temperaturforskelle og saltindhold hver for sig får vand til at bevæge sig, og samler det til sidst i én cirkulation med is og varme på hver sin side af karret.</w:t>
      </w:r>
    </w:p>
    <w:bookmarkEnd w:id="19"/>
    <w:bookmarkStart w:id="20" w:name="hypotese"/>
    <w:p>
      <w:pPr>
        <w:pStyle w:val="Heading2"/>
      </w:pPr>
      <w:r>
        <w:t xml:space="preserve">Hypotese</w:t>
      </w:r>
    </w:p>
    <w:p>
      <w:pPr>
        <w:pStyle w:val="FirstParagraph"/>
      </w:pPr>
      <w:r>
        <w:t xml:space="preserve">Skriv jeres bud,</w:t>
      </w:r>
      <w:r>
        <w:t xml:space="preserve"> </w:t>
      </w:r>
      <w:r>
        <w:rPr>
          <w:b/>
          <w:bCs/>
        </w:rPr>
        <w:t xml:space="preserve">inden</w:t>
      </w:r>
      <w:r>
        <w:t xml:space="preserve"> </w:t>
      </w:r>
      <w:r>
        <w:t xml:space="preserve">I går i gang — og begrund med begrebet densitet (massefylde):</w:t>
      </w:r>
    </w:p>
    <w:p>
      <w:pPr>
        <w:pStyle w:val="BodyText"/>
      </w:pPr>
      <w:r>
        <w:t xml:space="preserve">Hvad tror I sker, når koldt vand møder varmt vand?</w:t>
      </w:r>
    </w:p>
    <w:p>
      <w:pPr>
        <w:pStyle w:val="BodyText"/>
      </w:pPr>
      <w:r>
        <w:t xml:space="preserve">________________________________________________________________________________________________</w:t>
      </w:r>
    </w:p>
    <w:p>
      <w:pPr>
        <w:pStyle w:val="BodyText"/>
      </w:pPr>
      <w:r>
        <w:t xml:space="preserve">Hvad tror I sker, når ferskvand møder saltvand?</w:t>
      </w:r>
    </w:p>
    <w:p>
      <w:pPr>
        <w:pStyle w:val="BodyText"/>
      </w:pPr>
      <w:r>
        <w:t xml:space="preserve">________________________________________________________________________________________________</w:t>
      </w:r>
    </w:p>
    <w:p>
      <w:pPr>
        <w:pStyle w:val="BodyText"/>
      </w:pPr>
      <w:r>
        <w:t xml:space="preserve">Hvordan tror I, der kan dannes en hel cirkulation i karret, når is og varme bruges samtidig?</w:t>
      </w:r>
    </w:p>
    <w:p>
      <w:pPr>
        <w:pStyle w:val="BodyText"/>
      </w:pPr>
      <w:r>
        <w:t xml:space="preserve">________________________________________________________________________________________________</w:t>
      </w:r>
    </w:p>
    <w:bookmarkEnd w:id="20"/>
    <w:bookmarkStart w:id="31" w:name="fremgangsmåde"/>
    <w:p>
      <w:pPr>
        <w:pStyle w:val="Heading2"/>
      </w:pPr>
      <w:r>
        <w:t xml:space="preserve">Fremgangsmåde</w:t>
      </w:r>
    </w:p>
    <w:bookmarkStart w:id="21" w:name="del-1-koldt-og-varmt-vand-mødes"/>
    <w:p>
      <w:pPr>
        <w:pStyle w:val="Heading3"/>
      </w:pPr>
      <w:r>
        <w:t xml:space="preserve">Del 1: Koldt og varmt vand mødes</w:t>
      </w:r>
    </w:p>
    <w:p>
      <w:pPr>
        <w:pStyle w:val="Compact"/>
        <w:numPr>
          <w:ilvl w:val="0"/>
          <w:numId w:val="1001"/>
        </w:numPr>
      </w:pPr>
      <w:r>
        <w:t xml:space="preserve">Sæt skillepladen midt i karret.</w:t>
      </w:r>
    </w:p>
    <w:p>
      <w:pPr>
        <w:pStyle w:val="Compact"/>
        <w:numPr>
          <w:ilvl w:val="0"/>
          <w:numId w:val="1001"/>
        </w:numPr>
      </w:pPr>
      <w:r>
        <w:t xml:space="preserve">Fyld varmt vand i den ene side og koldt vand i den anden.</w:t>
      </w:r>
    </w:p>
    <w:p>
      <w:pPr>
        <w:pStyle w:val="Compact"/>
        <w:numPr>
          <w:ilvl w:val="0"/>
          <w:numId w:val="1001"/>
        </w:numPr>
      </w:pPr>
      <w:r>
        <w:t xml:space="preserve">Tilsæt blå frugtfarve til den kolde side, så I kan følge den.</w:t>
      </w:r>
    </w:p>
    <w:p>
      <w:pPr>
        <w:pStyle w:val="Compact"/>
        <w:numPr>
          <w:ilvl w:val="0"/>
          <w:numId w:val="1001"/>
        </w:numPr>
      </w:pPr>
      <w:r>
        <w:t xml:space="preserve">Fjern skillepladen forsigtigt, og observér, hvad der sker i grænsezonen.</w:t>
      </w:r>
    </w:p>
    <w:bookmarkEnd w:id="21"/>
    <w:bookmarkStart w:id="22" w:name="del-2-saltvand-og-ferskvand-mødes"/>
    <w:p>
      <w:pPr>
        <w:pStyle w:val="Heading3"/>
      </w:pPr>
      <w:r>
        <w:t xml:space="preserve">Del 2: Saltvand og ferskvand mødes</w:t>
      </w:r>
    </w:p>
    <w:p>
      <w:pPr>
        <w:pStyle w:val="Compact"/>
        <w:numPr>
          <w:ilvl w:val="0"/>
          <w:numId w:val="1002"/>
        </w:numPr>
      </w:pPr>
      <w:r>
        <w:t xml:space="preserve">Skyl karret, og fyld det igen — nu med lunkent vand i begge sider.</w:t>
      </w:r>
    </w:p>
    <w:p>
      <w:pPr>
        <w:pStyle w:val="Compact"/>
        <w:numPr>
          <w:ilvl w:val="0"/>
          <w:numId w:val="1002"/>
        </w:numPr>
      </w:pPr>
      <w:r>
        <w:t xml:space="preserve">Opløs salt i den ene side (</w:t>
      </w:r>
      <w:r>
        <w:t xml:space="preserve">“havsiden”</w:t>
      </w:r>
      <w:r>
        <w:t xml:space="preserve">), så saltholdigheden svarer nogenlunde til havvand (se materialer), og tilsæt rød frugtfarve.</w:t>
      </w:r>
    </w:p>
    <w:p>
      <w:pPr>
        <w:pStyle w:val="Compact"/>
        <w:numPr>
          <w:ilvl w:val="0"/>
          <w:numId w:val="1002"/>
        </w:numPr>
      </w:pPr>
      <w:r>
        <w:t xml:space="preserve">Den anden side (</w:t>
      </w:r>
      <w:r>
        <w:t xml:space="preserve">“kystsiden”</w:t>
      </w:r>
      <w:r>
        <w:t xml:space="preserve">) er almindeligt fersk, lunkent vand — uden salt.</w:t>
      </w:r>
    </w:p>
    <w:p>
      <w:pPr>
        <w:pStyle w:val="Compact"/>
        <w:numPr>
          <w:ilvl w:val="0"/>
          <w:numId w:val="1002"/>
        </w:numPr>
      </w:pPr>
      <w:r>
        <w:t xml:space="preserve">Fjern skillepladen forsigtigt, og observér, hvad der sker.</w:t>
      </w:r>
    </w:p>
    <w:bookmarkEnd w:id="22"/>
    <w:bookmarkStart w:id="23" w:name="X0e4b5f674057459b20ce2944fb629bff32344f5"/>
    <w:p>
      <w:pPr>
        <w:pStyle w:val="Heading3"/>
      </w:pPr>
      <w:r>
        <w:t xml:space="preserve">Del 3: Selve Grønlandspumpen — cirkulationen</w:t>
      </w:r>
    </w:p>
    <w:p>
      <w:pPr>
        <w:pStyle w:val="Compact"/>
        <w:numPr>
          <w:ilvl w:val="0"/>
          <w:numId w:val="1003"/>
        </w:numPr>
      </w:pPr>
      <w:r>
        <w:t xml:space="preserve">Fjern skillepladen helt, og fyld karret med lunkent vand til lige over isholderpladen.</w:t>
      </w:r>
    </w:p>
    <w:p>
      <w:pPr>
        <w:pStyle w:val="Compact"/>
        <w:numPr>
          <w:ilvl w:val="0"/>
          <w:numId w:val="1003"/>
        </w:numPr>
      </w:pPr>
      <w:r>
        <w:t xml:space="preserve">Placér isholderpladen i den ene ende af karret — den lille udskæring skal vende</w:t>
      </w:r>
      <w:r>
        <w:t xml:space="preserve"> </w:t>
      </w:r>
      <w:r>
        <w:rPr>
          <w:b/>
          <w:bCs/>
        </w:rPr>
        <w:t xml:space="preserve">nedad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Læg knust is på pladen, og dryp blå frugtfarve på isen.</w:t>
      </w:r>
    </w:p>
    <w:p>
      <w:pPr>
        <w:pStyle w:val="Compact"/>
        <w:numPr>
          <w:ilvl w:val="0"/>
          <w:numId w:val="1003"/>
        </w:numPr>
      </w:pPr>
      <w:r>
        <w:t xml:space="preserve">Stil en lukket flaske med varmt vand i den modsatte ende af karret som varmekilde.</w:t>
      </w:r>
    </w:p>
    <w:p>
      <w:pPr>
        <w:pStyle w:val="Compact"/>
        <w:numPr>
          <w:ilvl w:val="0"/>
          <w:numId w:val="1003"/>
        </w:numPr>
      </w:pPr>
      <w:r>
        <w:t xml:space="preserve">Vent et par minutter, og observér: det kolde, blå vand synker ned ved isen, strømmer langs bunden mod den varme ende og stiger op dér — det danner en cirkulation.</w:t>
      </w:r>
    </w:p>
    <w:p>
      <w:pPr>
        <w:pStyle w:val="Compact"/>
        <w:numPr>
          <w:ilvl w:val="0"/>
          <w:numId w:val="1003"/>
        </w:numPr>
      </w:pPr>
      <w:r>
        <w:t xml:space="preserve">Fotografér både opstillingen og resultatet.</w:t>
      </w:r>
    </w:p>
    <w:bookmarkEnd w:id="23"/>
    <w:bookmarkStart w:id="30" w:name="del-4-hvor-meget-tungere-er-saltvand"/>
    <w:p>
      <w:pPr>
        <w:pStyle w:val="Heading3"/>
      </w:pPr>
      <w:r>
        <w:t xml:space="preserve">Del 4: Hvor meget tungere er saltvand?</w:t>
      </w:r>
    </w:p>
    <w:p>
      <w:pPr>
        <w:pStyle w:val="Compact"/>
        <w:numPr>
          <w:ilvl w:val="0"/>
          <w:numId w:val="1004"/>
        </w:numPr>
      </w:pPr>
      <w:r>
        <w:t xml:space="preserve">Vej et tomt, tørt måleglas (100 mL), og notér massen.</w:t>
      </w:r>
    </w:p>
    <w:p>
      <w:pPr>
        <w:pStyle w:val="Compact"/>
        <w:numPr>
          <w:ilvl w:val="0"/>
          <w:numId w:val="1004"/>
        </w:numPr>
      </w:pPr>
      <w:r>
        <w:t xml:space="preserve">Afmål præcis 100 mL postevand i måleglasset, og vej det igen.</w:t>
      </w:r>
    </w:p>
    <w:p>
      <w:pPr>
        <w:pStyle w:val="Compact"/>
        <w:numPr>
          <w:ilvl w:val="0"/>
          <w:numId w:val="1004"/>
        </w:numPr>
      </w:pPr>
      <w:r>
        <w:t xml:space="preserve">Tøm og tør måleglasset (eller brug et andet af samme slags).</w:t>
      </w:r>
    </w:p>
    <w:p>
      <w:pPr>
        <w:pStyle w:val="Compact"/>
        <w:numPr>
          <w:ilvl w:val="0"/>
          <w:numId w:val="1004"/>
        </w:numPr>
      </w:pPr>
      <w:r>
        <w:t xml:space="preserve">Opløs 3,5 g salt i 100 mL vand — det svarer til havvands gennemsnitlige saltholdighed — og vej på samme måde.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5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tip.png" id="2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Hold en mørk baggrund (fx et stykke sort karton) bag karret, så frugtfarven er lettere at se. Vandet skal have samme temperatur i de to sider i Del 2, ellers blander I temperatur- og saltforskellen sammen. Brug ikke kogende vand i flasken i Del 3 — lunkent til håndvarmt er nok, og det er mere behageligt at røre ved bagefter.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8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2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Materialer (pr. gruppe)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Gennemsigtigt plexiglas-kar med skilleplade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Isholderplade (med lille udskæring, der skal vende nedad)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Knust is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Flaske med skruelåg til varmt vand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Frugtfarve (blå og rød)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Salt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Lunkent vand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Vægt (0,1 g eller finere)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Måleglas, 100 mL (2 stk., eller ét der kan tørres mellem målingerne)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Digitalkamera/mobil til billeder</w:t>
            </w:r>
          </w:p>
          <w:p/>
        </w:tc>
      </w:tr>
    </w:tbl>
    <w:bookmarkEnd w:id="30"/>
    <w:bookmarkEnd w:id="31"/>
    <w:bookmarkStart w:id="34" w:name="registrering-af-målinger"/>
    <w:p>
      <w:pPr>
        <w:pStyle w:val="Heading2"/>
      </w:pPr>
      <w:r>
        <w:t xml:space="preserve">Registrering af målinger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32" w:name="tbl-1"/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Tabel 1: Iagttagelser fra de tre delforsøg.</w:t>
            </w:r>
          </w:p>
          <w:tbl>
            <w:tblPr>
              <w:tblStyle w:val="Table"/>
              <w:tblW w:type="pct" w:w="5000"/>
              <w:tblLayout w:type="fixed"/>
              <w:tblLook w:firstRow="1" w:lastRow="0" w:firstColumn="0" w:lastColumn="0" w:noHBand="0" w:noVBand="0" w:val="0020"/>
            </w:tblPr>
            <w:tblGrid>
              <w:gridCol w:w="2436"/>
              <w:gridCol w:w="2436"/>
              <w:gridCol w:w="3046"/>
            </w:tblGrid>
            <w:tr>
              <w:trPr>
                <w:cantSplit/>
                <w:tblHeader w:val="on"/>
              </w:trPr>
              <w:tc>
                <w:tcPr/>
                <w:p>
                  <w:pPr>
                    <w:pStyle w:val="Compact"/>
                    <w:keepNext/>
                    <w:jc w:val="left"/>
                    <w:jc w:val="center"/>
                  </w:pPr>
                  <w:r>
                    <w:t xml:space="preserve">Delforsøg</w:t>
                  </w:r>
                </w:p>
              </w:tc>
              <w:tc>
                <w:tcPr/>
                <w:p>
                  <w:pPr>
                    <w:pStyle w:val="Compact"/>
                    <w:keepNext/>
                    <w:jc w:val="left"/>
                    <w:jc w:val="center"/>
                  </w:pPr>
                  <w:r>
                    <w:t xml:space="preserve">Beskriv, hvad I så (kvalitativt)</w:t>
                  </w:r>
                </w:p>
              </w:tc>
              <w:tc>
                <w:tcPr/>
                <w:p>
                  <w:pPr>
                    <w:pStyle w:val="Compact"/>
                    <w:keepNext/>
                    <w:jc w:val="center"/>
                    <w:jc w:val="center"/>
                  </w:pPr>
                  <w:r>
                    <w:t xml:space="preserve">Tid til vandet var helt blandet/faldet til ro (sekunder)</w:t>
                  </w:r>
                </w:p>
              </w:tc>
            </w:tr>
            <w:tr>
              <w:trPr>
                <w:cantSplit/>
              </w:trPr>
              <w:tc>
                <w:tcPr/>
                <w:p>
                  <w:pPr>
                    <w:pStyle w:val="Compact"/>
                    <w:keepNext/>
                    <w:jc w:val="left"/>
                    <w:jc w:val="center"/>
                  </w:pPr>
                  <w:r>
                    <w:t xml:space="preserve">Del 1 — koldt og varmt vand</w:t>
                  </w: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</w:tr>
            <w:tr>
              <w:trPr>
                <w:cantSplit/>
              </w:trPr>
              <w:tc>
                <w:tcPr/>
                <w:p>
                  <w:pPr>
                    <w:pStyle w:val="Compact"/>
                    <w:keepNext/>
                    <w:jc w:val="left"/>
                    <w:jc w:val="center"/>
                  </w:pPr>
                  <w:r>
                    <w:t xml:space="preserve">Del 2 — salt og fersk vand</w:t>
                  </w: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</w:tr>
            <w:tr>
              <w:trPr>
                <w:cantSplit/>
              </w:trP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Del 3 — cirkulationen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</w:tbl>
          <w:bookmarkEnd w:id="32"/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33" w:name="tbl-2"/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Tabel 2: Vejninger til bestemmelse af densitet, Del 4.</w:t>
            </w:r>
          </w:p>
          <w:tbl>
            <w:tblPr>
              <w:tblStyle w:val="Table"/>
              <w:tblW w:type="auto" w:w="0"/>
              <w:tblLook w:firstRow="1" w:lastRow="0" w:firstColumn="0" w:lastColumn="0" w:noHBand="0" w:noVBand="0" w:val="0020"/>
            </w:tblPr>
            <w:tblGrid>
              <w:gridCol w:w="2640"/>
              <w:gridCol w:w="2640"/>
              <w:gridCol w:w="2640"/>
            </w:tblGrid>
            <w:tr>
              <w:trPr>
                <w:cantSplit/>
                <w:tblHeader w:val="on"/>
              </w:trPr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  <w:jc w:val="center"/>
                    <w:jc w:val="center"/>
                  </w:pPr>
                  <w:r>
                    <w:t xml:space="preserve">Postevand</w:t>
                  </w:r>
                </w:p>
              </w:tc>
              <w:tc>
                <w:tcPr/>
                <w:p>
                  <w:pPr>
                    <w:pStyle w:val="Compact"/>
                    <w:keepNext/>
                    <w:jc w:val="center"/>
                    <w:jc w:val="center"/>
                  </w:pPr>
                  <w:r>
                    <w:t xml:space="preserve">Saltvand (≈ havvand)</w:t>
                  </w:r>
                </w:p>
              </w:tc>
            </w:tr>
            <w:tr>
              <w:trPr>
                <w:cantSplit/>
              </w:trPr>
              <w:tc>
                <w:tcPr/>
                <w:p>
                  <w:pPr>
                    <w:pStyle w:val="Compact"/>
                    <w:keepNext/>
                    <w:jc w:val="left"/>
                    <w:jc w:val="center"/>
                  </w:pPr>
                  <w:r>
                    <w:t xml:space="preserve">Masse af tomt måleglas (g)</w:t>
                  </w: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</w:tr>
            <w:tr>
              <w:trPr>
                <w:cantSplit/>
              </w:trPr>
              <w:tc>
                <w:tcPr/>
                <w:p>
                  <w:pPr>
                    <w:pStyle w:val="Compact"/>
                    <w:keepNext/>
                    <w:jc w:val="left"/>
                    <w:jc w:val="center"/>
                  </w:pPr>
                  <w:r>
                    <w:t xml:space="preserve">Masse af måleglas + 100 mL væske (g)</w:t>
                  </w: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</w:tr>
            <w:tr>
              <w:trPr>
                <w:cantSplit/>
              </w:trP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Væskens masse (g)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</w:tbl>
          <w:bookmarkEnd w:id="33"/>
          <w:p/>
        </w:tc>
      </w:tr>
    </w:tbl>
    <w:bookmarkEnd w:id="34"/>
    <w:bookmarkStart w:id="36" w:name="databehandling"/>
    <w:p>
      <w:pPr>
        <w:pStyle w:val="Heading2"/>
      </w:pPr>
      <w:r>
        <w:t xml:space="preserve">Databehandling</w:t>
      </w:r>
    </w:p>
    <w:p>
      <w:pPr>
        <w:pStyle w:val="Compact"/>
        <w:numPr>
          <w:ilvl w:val="0"/>
          <w:numId w:val="1006"/>
        </w:numPr>
      </w:pPr>
      <w:r>
        <w:t xml:space="preserve">Beregn væskens masse for hver prøve i</w:t>
      </w:r>
      <w:r>
        <w:t xml:space="preserve"> </w:t>
      </w:r>
      <w:hyperlink w:anchor="tbl-2">
        <w:r>
          <w:rPr>
            <w:rStyle w:val="Hyperlink"/>
          </w:rPr>
          <w:t xml:space="preserve">Tabel 2</w:t>
        </w:r>
      </w:hyperlink>
      <w:r>
        <w:t xml:space="preserve"> </w:t>
      </w:r>
      <w:r>
        <w:t xml:space="preserve">(masse af glas med væske minus det tomme glas).</w:t>
      </w:r>
    </w:p>
    <w:p>
      <w:pPr>
        <w:pStyle w:val="Compact"/>
        <w:numPr>
          <w:ilvl w:val="0"/>
          <w:numId w:val="1006"/>
        </w:numPr>
      </w:pPr>
      <w:r>
        <w:t xml:space="preserve">Beregn densiteten af hver væske. Rumfanget er de 100 mL, altså 100 cm³:</w:t>
      </w:r>
    </w:p>
    <w:p>
      <w:pPr>
        <w:pStyle w:val="FirstParagraph"/>
      </w:pPr>
      <m:oMathPara>
        <m:oMathParaPr>
          <m:jc m:val="center"/>
        </m:oMathParaPr>
        <m:oMath>
          <m:r>
            <m:t>ρ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m</m:t>
              </m:r>
            </m:num>
            <m:den>
              <m:r>
                <m:t>V</m:t>
              </m:r>
            </m:den>
          </m:f>
        </m:oMath>
      </m:oMathPara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35" w:name="tbl-3"/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Tabel 3: Beregnet densitet af de to væsker.</w:t>
            </w:r>
          </w:p>
          <w:tbl>
            <w:tblPr>
              <w:tblStyle w:val="Table"/>
              <w:tblW w:type="auto" w:w="0"/>
              <w:tblLook w:firstRow="1" w:lastRow="0" w:firstColumn="0" w:lastColumn="0" w:noHBand="0" w:noVBand="0" w:val="0020"/>
            </w:tblPr>
            <w:tblGrid>
              <w:gridCol w:w="2640"/>
              <w:gridCol w:w="2640"/>
              <w:gridCol w:w="2640"/>
            </w:tblGrid>
            <w:tr>
              <w:trPr>
                <w:cantSplit/>
                <w:tblHeader w:val="on"/>
              </w:trPr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  <w:jc w:val="center"/>
                    <w:jc w:val="center"/>
                  </w:pPr>
                  <w:r>
                    <w:t xml:space="preserve">Postevand</w:t>
                  </w:r>
                </w:p>
              </w:tc>
              <w:tc>
                <w:tcPr/>
                <w:p>
                  <w:pPr>
                    <w:pStyle w:val="Compact"/>
                    <w:keepNext/>
                    <w:jc w:val="center"/>
                    <w:jc w:val="center"/>
                  </w:pPr>
                  <w:r>
                    <w:t xml:space="preserve">Saltvand (≈ havvand)</w:t>
                  </w:r>
                </w:p>
              </w:tc>
            </w:tr>
            <w:tr>
              <w:trPr>
                <w:cantSplit/>
              </w:trP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Densitet (g/cm³)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</w:tbl>
          <w:bookmarkEnd w:id="35"/>
          <w:p/>
        </w:tc>
      </w:tr>
    </w:tbl>
    <w:p>
      <w:pPr>
        <w:pStyle w:val="Compact"/>
        <w:numPr>
          <w:ilvl w:val="0"/>
          <w:numId w:val="1007"/>
        </w:numPr>
      </w:pPr>
      <w:r>
        <w:t xml:space="preserve">Sammenlign jeres beregnede densiteter med de kendte værdier for fersk- og havvand — ca. 1,00 g/cm³ for postevand og ca. 1,025 g/cm³ for havvand. Hvor tæt kom I på?</w:t>
      </w:r>
    </w:p>
    <w:p>
      <w:pPr>
        <w:pStyle w:val="Compact"/>
        <w:numPr>
          <w:ilvl w:val="0"/>
          <w:numId w:val="1007"/>
        </w:numPr>
      </w:pPr>
      <w:r>
        <w:t xml:space="preserve">Sammenhold</w:t>
      </w:r>
      <w:r>
        <w:t xml:space="preserve"> </w:t>
      </w:r>
      <w:hyperlink w:anchor="tbl-1">
        <w:r>
          <w:rPr>
            <w:rStyle w:val="Hyperlink"/>
          </w:rPr>
          <w:t xml:space="preserve">Tabel 1</w:t>
        </w:r>
      </w:hyperlink>
      <w:r>
        <w:t xml:space="preserve"> </w:t>
      </w:r>
      <w:r>
        <w:t xml:space="preserve">og</w:t>
      </w:r>
      <w:r>
        <w:t xml:space="preserve"> </w:t>
      </w:r>
      <w:hyperlink w:anchor="tbl-3">
        <w:r>
          <w:rPr>
            <w:rStyle w:val="Hyperlink"/>
          </w:rPr>
          <w:t xml:space="preserve">Tabel 3</w:t>
        </w:r>
      </w:hyperlink>
      <w:r>
        <w:t xml:space="preserve">: hvordan hænger densitetsforskellen, I lige har regnet ud, sammen med det, I så ske i Del 2 og Del 3?</w:t>
      </w:r>
    </w:p>
    <w:bookmarkEnd w:id="36"/>
    <w:bookmarkStart w:id="37" w:name="journalspørgsmål"/>
    <w:p>
      <w:pPr>
        <w:pStyle w:val="Heading2"/>
      </w:pPr>
      <w:r>
        <w:t xml:space="preserve">Journalspørgsmål</w:t>
      </w:r>
    </w:p>
    <w:p>
      <w:pPr>
        <w:pStyle w:val="Compact"/>
        <w:numPr>
          <w:ilvl w:val="0"/>
          <w:numId w:val="1008"/>
        </w:numPr>
      </w:pPr>
      <w:r>
        <w:t xml:space="preserve">Forklar med fagbegreber (densitet, temperatur, salinitet), hvorfor det kolde vand synker ved isen, og hvorfor det varme vand stiger ved flasken i Del 3.</w:t>
      </w:r>
    </w:p>
    <w:p>
      <w:pPr>
        <w:pStyle w:val="Compact"/>
        <w:numPr>
          <w:ilvl w:val="0"/>
          <w:numId w:val="1008"/>
        </w:numPr>
      </w:pPr>
      <w:r>
        <w:t xml:space="preserve">Hvordan minder cirkulationen i karret om den rigtige dybvandsdannelse ved Grønland? Nævn også mindst to måder, modellen er en forsimpling af det virkelige hav (fx størrelse, tidsskala, vind og jordrotation).</w:t>
      </w:r>
    </w:p>
    <w:p>
      <w:pPr>
        <w:pStyle w:val="Compact"/>
        <w:numPr>
          <w:ilvl w:val="0"/>
          <w:numId w:val="1008"/>
        </w:numPr>
      </w:pPr>
      <w:r>
        <w:t xml:space="preserve">I virkeligheden smelter Grønlands indlandsis og tilfører Nordatlanten ferskvand. Hvad ville der ske med jeres model, hvis I gentog Del 3 med smeltende ferskvandsis i stedet for almindelig is — og hvorfor?</w:t>
      </w:r>
    </w:p>
    <w:p>
      <w:pPr>
        <w:pStyle w:val="Compact"/>
        <w:numPr>
          <w:ilvl w:val="0"/>
          <w:numId w:val="1008"/>
        </w:numPr>
      </w:pPr>
      <w:r>
        <w:t xml:space="preserve">Hvad kan en svækket eller helt stoppet Grønlandspumpe betyde for klimaet i Danmark og Nordeuropa? Inddrag begrebet global energitransport via havstrømme, og forklar sammenhængen til Golfstrømmen (Den Nordatlantiske Strøm).</w:t>
      </w:r>
    </w:p>
    <w:p>
      <w:pPr>
        <w:pStyle w:val="Compact"/>
        <w:numPr>
          <w:ilvl w:val="0"/>
          <w:numId w:val="1008"/>
        </w:numPr>
      </w:pPr>
      <w:r>
        <w:t xml:space="preserve">Diskutér metoden: hvilke variable holdt I konstant, og hvilke ændrede I mellem de fire delforsøg? Stemte jeres hypoteser med det, der rent faktisk skete? Kunne en anden gruppe gentage forsøget og få samme resultat?</w:t>
      </w:r>
    </w:p>
    <w:bookmarkEnd w:id="37"/>
    <w:sectPr>
      <w:headerReference r:id="rId7" w:type="default"/>
      <w:footerReference r:id="rId8" w:type="default"/>
      <w:pgSz w:h="16838" w:orient="portrait" w:w="11906"/>
      <w:pgMar w:bottom="1224" w:footer="500" w:gutter="0" w:header="500" w:left="1152" w:right="1152" w:top="1224"/>
      <w:pgNumType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="http://schemas.openxmlformats.org/wordprocessingml/2006/main">
  <w:p>
    <w:pPr>
      <w:pBdr>
        <w:top w:val="single" w:color="A9BBA1" w:sz="4" w:space="6"/>
      </w:pBdr>
      <w:tabs>
        <w:tab w:val="right" w:pos="9026"/>
      </w:tabs>
    </w:pPr>
    <w:r>
      <w:rPr>
        <w:rFonts w:ascii="Calibri" w:cs="Calibri" w:eastAsia="Calibri" w:hAnsi="Calibri"/>
        <w:i/>
        <w:iCs/>
        <w:color w:val="6B7A66"/>
        <w:sz w:val="16"/>
        <w:szCs w:val="16"/>
      </w:rPr>
      <w:t xml:space="preserve">Øvelsesvejledning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z w:val="16"/>
        <w:szCs w:val="16"/>
      </w:rPr>
      <w:t xml:space="preserve">Side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B7A66"/>
        <w:sz w:val="16"/>
        <w:szCs w:val="16"/>
      </w:rPr>
      <w:t xml:space="preserve"> af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>
    <w:pPr>
      <w:pBdr>
        <w:bottom w:val="single" w:color="A9BBA1" w:sz="4" w:space="6"/>
      </w:pBdr>
      <w:tabs>
        <w:tab w:val="right" w:pos="9026"/>
      </w:tabs>
      <w:spacing w:after="0"/>
    </w:pPr>
    <w:r>
      <w:rPr>
        <w:rFonts w:ascii="Calibri" w:cs="Calibri" w:eastAsia="Calibri" w:hAnsi="Calibri"/>
        <w:b/>
        <w:bCs/>
        <w:color w:val="6B7A66"/>
        <w:spacing w:val="18"/>
        <w:sz w:val="16"/>
        <w:szCs w:val="16"/>
      </w:rPr>
      <w:t xml:space="preserve"/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pacing w:val="10"/>
        <w:sz w:val="16"/>
        <w:szCs w:val="16"/>
      </w:rPr>
      <w:t xml:space="preserve"/>
    </w:r>
  </w:p>
</w:hdr>
</file>

<file path=word/numbering.xml><?xml version="1.0" encoding="utf-8"?>
<w:numbering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15:restartNumberingAfterBreak="0" w:abstractNumId="1">
    <w:multiLevelType w:val="hybridMultilevel"/>
    <w:lvl w15:tentative="1" w:ilvl="0">
      <w:start w:val="1"/>
      <w:numFmt w:val="bullet"/>
      <w:lvlText w:val="●"/>
      <w:lvlJc w:val="left"/>
      <w:pPr>
        <w:ind w:hanging="360" w:left="720"/>
      </w:pPr>
    </w:lvl>
    <w:lvl w15:tentative="1" w:ilvl="1">
      <w:start w:val="1"/>
      <w:numFmt w:val="bullet"/>
      <w:lvlText w:val="○"/>
      <w:lvlJc w:val="left"/>
      <w:pPr>
        <w:ind w:hanging="360" w:left="1440"/>
      </w:pPr>
    </w:lvl>
    <w:lvl w15:tentative="1" w:ilvl="2">
      <w:start w:val="1"/>
      <w:numFmt w:val="bullet"/>
      <w:lvlText w:val="■"/>
      <w:lvlJc w:val="left"/>
      <w:pPr>
        <w:ind w:hanging="360" w:left="2160"/>
      </w:pPr>
    </w:lvl>
    <w:lvl w15:tentative="1" w:ilvl="3">
      <w:start w:val="1"/>
      <w:numFmt w:val="bullet"/>
      <w:lvlText w:val="●"/>
      <w:lvlJc w:val="left"/>
      <w:pPr>
        <w:ind w:hanging="360" w:left="2880"/>
      </w:pPr>
    </w:lvl>
    <w:lvl w15:tentative="1" w:ilvl="4">
      <w:start w:val="1"/>
      <w:numFmt w:val="bullet"/>
      <w:lvlText w:val="○"/>
      <w:lvlJc w:val="left"/>
      <w:pPr>
        <w:ind w:hanging="360" w:left="3600"/>
      </w:pPr>
    </w:lvl>
    <w:lvl w15:tentative="1" w:ilvl="5">
      <w:start w:val="1"/>
      <w:numFmt w:val="bullet"/>
      <w:lvlText w:val="■"/>
      <w:lvlJc w:val="left"/>
      <w:pPr>
        <w:ind w:hanging="360" w:left="4320"/>
      </w:pPr>
    </w:lvl>
    <w:lvl w15:tentative="1" w:ilvl="6">
      <w:start w:val="1"/>
      <w:numFmt w:val="bullet"/>
      <w:lvlText w:val="●"/>
      <w:lvlJc w:val="left"/>
      <w:pPr>
        <w:ind w:hanging="360" w:left="5040"/>
      </w:pPr>
    </w:lvl>
    <w:lvl w15:tentative="1" w:ilvl="7">
      <w:start w:val="1"/>
      <w:numFmt w:val="bullet"/>
      <w:lvlText w:val="●"/>
      <w:lvlJc w:val="left"/>
      <w:pPr>
        <w:ind w:hanging="360" w:left="5760"/>
      </w:pPr>
    </w:lvl>
    <w:lvl w15:tentative="1" w:ilvl="8">
      <w:start w:val="1"/>
      <w:numFmt w:val="bullet"/>
      <w:lvlText w:val="●"/>
      <w:lvlJc w:val="left"/>
      <w:pPr>
        <w:ind w:hanging="360" w:left="6480"/>
      </w:pPr>
    </w:lvl>
  </w:abstractNum>
  <w:abstractNum w15:restartNumberingAfterBreak="0" w:abstractNumId="2">
    <w:multiLevelType w:val="hybridMultilevel"/>
    <w:lvl w15:tentative="1" w:ilvl="0">
      <w:start w:val="1"/>
      <w:numFmt w:val="decimal"/>
      <w:lvlText w:val="%1."/>
      <w:lvlJc w:val="start"/>
      <w:pPr>
        <w:ind w:hanging="300" w:left="420"/>
      </w:pPr>
    </w:lvl>
  </w:abstractNum>
  <w:abstractNum w15:restartNumberingAfterBreak="0" w:abstractNumId="3">
    <w:multiLevelType w:val="hybridMultilevel"/>
    <w:lvl w15:tentative="1" w:ilvl="0">
      <w:start w:val="1"/>
      <w:numFmt w:val="bullet"/>
      <w:lvlText w:val="–"/>
      <w:lvlJc w:val="start"/>
      <w:pPr>
        <w:ind w:hanging="200" w:left="32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displayBackgroundShape/>
  <w:embedSystemFonts/>
  <w:proofState w:grammar="clean" w:spelling="clean"/>
  <w:stylePaneFormatFilter w:val="0004"/>
  <w:doNotTrackMoves/>
  <w:defaultTabStop w:val="720"/>
  <w:evenAndOddHeaders w:val="false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</w:compat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6332B"/>
        <w:sz w:val="22"/>
        <w:szCs w:val="22"/>
        <w:lang w:val="da"/>
      </w:rPr>
    </w:rPrDefault>
    <w:pPrDefault>
      <w:pPr>
        <w:spacing w:after="140" w:line="276" w:lineRule="auto"/>
      </w:pPr>
    </w:pPrDefault>
  </w:docDefaults>
  <w:style w:default="1" w:styleId="Normal" w:type="paragraph">
    <w:name w:val="Normal"/>
    <w:qFormat/>
  </w:style>
  <w:style w:styleId="Title" w:type="paragraph">
    <w:name w:val="Title"/>
    <w:basedOn w:val="Normal"/>
    <w:next w:val="Normal"/>
    <w:qFormat/>
    <w:pPr>
      <w:spacing w:after="80" w:before="40"/>
    </w:pPr>
    <w:rPr>
      <w:b/>
      <w:bCs/>
      <w:color w:val="2C4527"/>
      <w:sz w:val="52"/>
      <w:szCs w:val="52"/>
    </w:rPr>
  </w:style>
  <w:style w:styleId="Subtitle" w:type="paragraph">
    <w:name w:val="Subtitle"/>
    <w:basedOn w:val="Normal"/>
    <w:next w:val="Normal"/>
    <w:qFormat/>
    <w:pPr>
      <w:spacing w:after="220" w:before="0"/>
    </w:pPr>
    <w:rPr>
      <w:color w:val="6B7A66"/>
      <w:sz w:val="20"/>
    </w:rPr>
  </w:style>
  <w:style w:styleId="Heading1" w:type="paragraph">
    <w:name w:val="Heading 1"/>
    <w:basedOn w:val="Normal"/>
    <w:next w:val="Normal"/>
    <w:qFormat/>
    <w:pPr>
      <w:pBdr>
        <w:left w:color="3F5F3A" w:space="8" w:sz="18" w:val="single"/>
      </w:pBdr>
      <w:spacing w:after="140" w:before="320"/>
      <w:ind w:left="140"/>
    </w:pPr>
    <w:rPr>
      <w:b/>
      <w:bCs/>
      <w:color w:val="2C4527"/>
      <w:sz w:val="32"/>
      <w:szCs w:val="32"/>
    </w:rPr>
  </w:style>
  <w:style w:styleId="Heading2" w:type="paragraph">
    <w:name w:val="Heading 2"/>
    <w:basedOn w:val="Normal"/>
    <w:next w:val="Normal"/>
    <w:qFormat/>
    <w:pPr>
      <w:pBdr>
        <w:left w:color="3F5F3A" w:space="8" w:sz="18" w:val="single"/>
      </w:pBdr>
      <w:spacing w:after="120" w:before="300"/>
      <w:ind w:left="140"/>
    </w:pPr>
    <w:rPr>
      <w:b/>
      <w:bCs/>
      <w:color w:val="2C4527"/>
      <w:sz w:val="27"/>
      <w:szCs w:val="27"/>
    </w:rPr>
  </w:style>
  <w:style w:styleId="Heading3" w:type="paragraph">
    <w:name w:val="Heading 3"/>
    <w:basedOn w:val="Normal"/>
    <w:next w:val="Normal"/>
    <w:qFormat/>
    <w:pPr>
      <w:spacing w:after="100" w:before="200"/>
    </w:pPr>
    <w:rPr>
      <w:b/>
      <w:bCs/>
      <w:color w:val="3F5F3A"/>
      <w:sz w:val="24"/>
      <w:szCs w:val="24"/>
    </w:rPr>
  </w:style>
  <w:style w:styleId="Heading4" w:type="paragraph">
    <w:name w:val="Heading 4"/>
    <w:basedOn w:val="Normal"/>
    <w:next w:val="Normal"/>
    <w:qFormat/>
    <w:rPr>
      <w:i/>
      <w:iCs/>
      <w:color w:val="3F5F3A"/>
    </w:rPr>
  </w:style>
  <w:style w:styleId="Heading5" w:type="paragraph">
    <w:name w:val="Heading 5"/>
    <w:basedOn w:val="Normal"/>
    <w:next w:val="Normal"/>
    <w:qFormat/>
    <w:rPr>
      <w:color w:val="3F5F3A"/>
    </w:rPr>
  </w:style>
  <w:style w:styleId="Heading6" w:type="paragraph">
    <w:name w:val="Heading 6"/>
    <w:basedOn w:val="Normal"/>
    <w:next w:val="Normal"/>
    <w:qFormat/>
    <w:rPr>
      <w:color w:val="6B7A66"/>
    </w:rPr>
  </w:style>
  <w:style w:styleId="Strong" w:type="paragraph">
    <w:name w:val="Strong"/>
    <w:basedOn w:val="Normal"/>
    <w:next w:val="Normal"/>
    <w:qFormat/>
    <w:rPr>
      <w:b/>
      <w:bCs/>
    </w:rPr>
  </w:style>
  <w:style w:styleId="ListParagraph" w:type="paragraph">
    <w:name w:val="List Paragraph"/>
    <w:basedOn w:val="Normal"/>
    <w:qFormat/>
  </w:style>
  <w:style w:styleId="BodyText" w:type="paragraph">
    <w:name w:val="Body Text"/>
    <w:basedOn w:val="Normal"/>
    <w:next w:val="Normal"/>
    <w:qFormat/>
  </w:style>
  <w:style w:styleId="FirstParagraph" w:type="paragraph">
    <w:name w:val="First Paragraph"/>
    <w:basedOn w:val="Normal"/>
    <w:next w:val="Normal"/>
    <w:qFormat/>
    <w:pPr>
      <w:spacing w:before="0"/>
    </w:pPr>
  </w:style>
  <w:style w:styleId="Compact" w:type="paragraph">
    <w:name w:val="Compact"/>
    <w:basedOn w:val="ListParagraph"/>
    <w:next w:val="Compact"/>
    <w:qFormat/>
    <w:pPr>
      <w:spacing w:after="90" w:line="276" w:lineRule="auto"/>
    </w:pPr>
  </w:style>
  <w:style w:styleId="CaptionedFigure" w:type="paragraph">
    <w:name w:val="Captioned Figure"/>
    <w:basedOn w:val="Normal"/>
    <w:next w:val="Normal"/>
    <w:qFormat/>
    <w:pPr>
      <w:spacing w:after="0" w:before="120"/>
      <w:jc w:val="center"/>
    </w:pPr>
  </w:style>
  <w:style w:styleId="Caption" w:type="paragraph">
    <w:name w:val="Caption"/>
    <w:basedOn w:val="Normal"/>
    <w:next w:val="Normal"/>
    <w:qFormat/>
    <w:pPr>
      <w:spacing w:after="220" w:before="100"/>
      <w:jc w:val="center"/>
    </w:pPr>
    <w:rPr>
      <w:i/>
      <w:iCs/>
      <w:color w:val="6B7A66"/>
      <w:sz w:val="19"/>
      <w:szCs w:val="19"/>
    </w:rPr>
  </w:style>
  <w:style w:styleId="ImageCaption" w:type="paragraph">
    <w:name w:val="Image Caption"/>
    <w:basedOn w:val="Caption"/>
    <w:next w:val="Normal"/>
    <w:qFormat/>
  </w:style>
  <w:style w:styleId="Table" w:type="table">
    <w:name w:val="Table"/>
    <w:basedOn w:val="TableNormal"/>
    <w:uiPriority w:val="99"/>
    <w:pPr>
      <w:spacing w:after="0" w:line="256" w:lineRule="auto"/>
    </w:pPr>
    <w:tblPr>
      <w:tblBorders>
        <w:top w:color="8FA085" w:space="0" w:sz="4" w:val="single"/>
        <w:left w:color="8FA085" w:space="0" w:sz="4" w:val="single"/>
        <w:bottom w:color="8FA085" w:space="0" w:sz="4" w:val="single"/>
        <w:right w:color="8FA085" w:space="0" w:sz="4" w:val="single"/>
        <w:insideH w:color="C7D0C0" w:space="0" w:sz="4" w:val="single"/>
        <w:insideV w:color="C7D0C0" w:space="0" w:sz="4" w:val="single"/>
      </w:tblBorders>
    </w:tblPr>
    <w:tcPr>
      <w:tcMar>
        <w:top w:type="dxa" w:w="90"/>
        <w:left w:type="dxa" w:w="120"/>
        <w:bottom w:type="dxa" w:w="90"/>
        <w:right w:type="dxa" w:w="120"/>
      </w:tcMar>
    </w:tcPr>
  </w:style>
  <w:style w:default="1" w:styleId="TableNormal" w:type="table">
    <w:name w:val="Normal Table"/>
    <w:uiPriority w:val="99"/>
    <w:semiHidden/>
    <w:unhideWhenUsed/>
    <w:tblPr>
      <w:tblCellMar>
        <w:top w:type="dxa" w:w="0"/>
        <w:left w:type="dxa" w:w="108"/>
        <w:bottom w:type="dxa" w:w="0"/>
        <w:right w:type="dxa" w:w="108"/>
      </w:tblCellMar>
    </w:tblPr>
  </w:style>
  <w:style w:styleId="FirstRow" w:type="table">
    <w:name w:val="First Row"/>
    <w:basedOn w:val="Table"/>
    <w:uiPriority w:val="99"/>
  </w:style>
  <w:style w:styleId="Hyperlink" w:type="character">
    <w:name w:val="Hyperlink"/>
    <w:basedOn w:val="DefaultParagraphFont"/>
    <w:uiPriority w:val="99"/>
    <w:unhideWhenUsed/>
    <w:rPr>
      <w:color w:val="1F5F8B"/>
      <w:u w:val="single"/>
    </w:rPr>
  </w:style>
  <w:style w:styleId="FootnoteReference" w:type="character">
    <w:name w:val="footnote reference"/>
    <w:basedOn w:val="DefaultParagraphFont"/>
    <w:uiPriority w:val="99"/>
    <w:semiHidden/>
    <w:unhideWhenUsed/>
    <w:rPr>
      <w:vertAlign w:val="superscript"/>
    </w:rPr>
  </w:style>
  <w:style w:styleId="FootnoteText" w:type="paragraph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FootnoteTextChar" w:type="characte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basedOn w:val="DefaultParagraphFont"/>
    <w:uiPriority w:val="99"/>
    <w:semiHidden/>
    <w:unhideWhenUsed/>
    <w:rPr>
      <w:vertAlign w:val="superscript"/>
    </w:rPr>
  </w:style>
  <w:style w:styleId="EndnoteText" w:type="paragraph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EndnoteTextChar" w:type="characte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7" Target="header1.xml" Type="http://schemas.openxmlformats.org/officeDocument/2006/relationships/header" /><Relationship Id="rId8" Target="footer1.xml" Type="http://schemas.openxmlformats.org/officeDocument/2006/relationships/footer" /><Relationship Id="rId9" Target="media/ff4355ab3d7b3fb047ac1bb9b81f09919282c810.png" Type="http://schemas.openxmlformats.org/officeDocument/2006/relationships/image" /><Relationship Id="rId10" Target="media/22118e1eede36edf4136c10d3e20d9ff95fafa9e.png" Type="http://schemas.openxmlformats.org/officeDocument/2006/relationships/image" /><Relationship Type="http://schemas.openxmlformats.org/officeDocument/2006/relationships/image" Id="rId27" Target="media/rId27.png" /><Relationship Type="http://schemas.openxmlformats.org/officeDocument/2006/relationships/image" Id="rId24" Target="media/rId24.png" 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 />
</file>

<file path=word/_rels/header1.xml.rels><?xml version="1.0" encoding="UTF-8"?>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Grønlandspumpen</dc:title>
  <dc:creator/>
  <dc:language>da</dc:language>
  <cp:keywords/>
  <dcterms:created xsi:type="dcterms:W3CDTF">2026-09-15T08:04:30Z</dcterms:created>
  <dcterms:modified xsi:type="dcterms:W3CDTF">2026-09-15T08:04:30Z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doc-type">
    <vt:lpwstr>Øvelsesvejledning</vt:lpwstr>
  </property>
  <property fmtid="{D5CDD505-2E9C-101B-9397-08002B2CF9AE}" pid="4" name="fag">
    <vt:lpwstr/>
  </property>
  <property fmtid="{D5CDD505-2E9C-101B-9397-08002B2CF9AE}" pid="5" name="header-includes">
    <vt:lpwstr/>
  </property>
  <property fmtid="{D5CDD505-2E9C-101B-9397-08002B2CF9AE}" pid="6" name="hold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subtitle">
    <vt:lpwstr>Modelforsøg om den termohaline cirkulation</vt:lpwstr>
  </property>
  <property fmtid="{D5CDD505-2E9C-101B-9397-08002B2CF9AE}" pid="11" name="toc-title">
    <vt:lpwstr>Indholdsfortegnelse</vt:lpwstr>
  </property>
</Properties>
</file>