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3.png" ContentType="image/png"/>
  <Override PartName="/word/media/rId20.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m="http://schemas.openxmlformats.org/officeDocument/2006/math"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Spytamylases nedbrydning af stivelse</w:t>
      </w:r>
    </w:p>
    <w:p>
      <w:pPr>
        <w:pStyle w:val="Subtitle"/>
      </w:pPr>
      <w:r>
        <w:t xml:space="preserve">Laboratorieøvelse</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19" w:name="om-øvelsen"/>
    <w:p>
      <w:pPr>
        <w:pStyle w:val="Heading2"/>
      </w:pPr>
      <w:r>
        <w:t xml:space="preserve">Om øvelsen</w:t>
      </w:r>
    </w:p>
    <w:p>
      <w:pPr>
        <w:pStyle w:val="FirstParagraph"/>
      </w:pPr>
      <w:r>
        <w:t xml:space="preserve">I dag skal I undersøge nedbrydningen af stivelse ved hjælp af enzymet amylase. Stivelse er et kulhydrat opbygget af flere hundrede glukosemolekyler i lange kæder, og det udgør langt størstedelen af kulhydraterne i vores kost. Amylase kan spalte stivelse til maltose, som kun består af to glukosemolekyler. Fordøjelsen af stivelse starter allerede i munden, hvor spytkirtlerne udskiller spytamylase; øverst i tyndtarmen tilføres desuden bugspytamylase fra bugspytkirtlen.</w:t>
      </w:r>
    </w:p>
    <w:p>
      <w:pPr>
        <w:pStyle w:val="BodyText"/>
      </w:pPr>
      <w:r>
        <w:t xml:space="preserve">I forsøget påvises spaltningen af stivelse via et farveskift: jod binder sig til stivelsesmolekylerne og farver dem blå, og når stivelsen nedbrydes til mindre enheder, slipper jodet igen, og den blå farve viger for en gullig. Det er dette farveskift — og hastigheden af det — I bruger som mål for amylaseaktiviteten. I skal bruge jeres eget spyt som enzymkilde, og undersøge hvilken effekt temperatur og pH har på, hvor hurtigt stivelsen nedbrydes.</w:t>
      </w:r>
    </w:p>
    <w:bookmarkEnd w:id="19"/>
    <w:bookmarkStart w:id="26" w:name="fremgangsmåde"/>
    <w:p>
      <w:pPr>
        <w:pStyle w:val="Heading2"/>
      </w:pPr>
      <w:r>
        <w:t xml:space="preserve">Fremgangsmåde</w:t>
      </w:r>
    </w:p>
    <w:p>
      <w:pPr>
        <w:pStyle w:val="Compact"/>
        <w:numPr>
          <w:ilvl w:val="0"/>
          <w:numId w:val="1001"/>
        </w:numPr>
      </w:pPr>
      <w:r>
        <w:t xml:space="preserve">Opsaml ca. 2-3 mL spyt fra én person i gruppen i et lille bægerglas. Fortynd det med ca. 4 mL vand, og rør grundigt rundt — dette er jeres spytamylase-opløsning.</w:t>
      </w:r>
    </w:p>
    <w:p>
      <w:pPr>
        <w:pStyle w:val="Compact"/>
        <w:numPr>
          <w:ilvl w:val="0"/>
          <w:numId w:val="1001"/>
        </w:numPr>
      </w:pPr>
      <w:r>
        <w:t xml:space="preserve">Nummerér fem reagensglas fra 1 til 5. Glassenes indhold, pH og temperatur fremgår af</w:t>
      </w:r>
      <w:r>
        <w:t xml:space="preserve"> </w:t>
      </w:r>
      <w:hyperlink w:anchor="tbl-1">
        <w:r>
          <w:rPr>
            <w:rStyle w:val="Hyperlink"/>
          </w:rPr>
          <w:t xml:space="preserve">Tabel 1</w:t>
        </w:r>
      </w:hyperlink>
      <w:r>
        <w:t xml:space="preserve">.</w:t>
      </w:r>
    </w:p>
    <w:p>
      <w:pPr>
        <w:pStyle w:val="Compact"/>
        <w:numPr>
          <w:ilvl w:val="0"/>
          <w:numId w:val="1001"/>
        </w:numPr>
      </w:pPr>
      <w:r>
        <w:t xml:space="preserve">Tilsæt med et 10 mL måleglas 5 mL af den fælles 0,5 % stivelsesopløsning til hvert af de fem glas.</w:t>
      </w:r>
    </w:p>
    <w:p>
      <w:pPr>
        <w:pStyle w:val="Compact"/>
        <w:numPr>
          <w:ilvl w:val="0"/>
          <w:numId w:val="1001"/>
        </w:numPr>
      </w:pPr>
      <w:r>
        <w:t xml:space="preserve">Stil glassene i vandbad ved den temperatur, der er angivet i</w:t>
      </w:r>
      <w:r>
        <w:t xml:space="preserve"> </w:t>
      </w:r>
      <w:hyperlink w:anchor="tbl-1">
        <w:r>
          <w:rPr>
            <w:rStyle w:val="Hyperlink"/>
          </w:rPr>
          <w:t xml:space="preserve">Tabel 1</w:t>
        </w:r>
      </w:hyperlink>
      <w:r>
        <w:t xml:space="preserve">. Glasset ved 80 °C stilles først i vandbadet 2-3 minutter, før spytamylasen tilsættes.</w:t>
      </w:r>
    </w:p>
    <w:p>
      <w:pPr>
        <w:pStyle w:val="Compact"/>
        <w:numPr>
          <w:ilvl w:val="0"/>
          <w:numId w:val="1001"/>
        </w:numPr>
      </w:pPr>
      <w:r>
        <w:t xml:space="preserve">Tilsæt 2 dråber jod-jod-kaliumopløsning (Lugols reagens) til hvert glas med en engangspipette, og rør rundt med en spatel. Notér farven, og hold især øje med, om farven i glas 1 (kontrol) ændrer sig i løbet af forsøget. Skyl spatlen grundigt mellem hvert glas.</w:t>
      </w:r>
    </w:p>
    <w:p>
      <w:pPr>
        <w:pStyle w:val="Compact"/>
        <w:numPr>
          <w:ilvl w:val="0"/>
          <w:numId w:val="1001"/>
        </w:numPr>
      </w:pPr>
      <w:r>
        <w:t xml:space="preserve">Tilsæt 0,5 mL spytamylase til glas 2, rør rundt, og tag straks tiden. Stop uret, når væsken skifter fra blå til gullig — hold glasset op mod et stykke hvidt papir sammen med glas 1 (kontrollen) for lettere at se skiftet. Notér tiden i</w:t>
      </w:r>
      <w:r>
        <w:t xml:space="preserve"> </w:t>
      </w:r>
      <w:hyperlink w:anchor="tbl-1">
        <w:r>
          <w:rPr>
            <w:rStyle w:val="Hyperlink"/>
          </w:rPr>
          <w:t xml:space="preserve">Tabel 1</w:t>
        </w:r>
      </w:hyperlink>
      <w:r>
        <w:t xml:space="preserve">.</w:t>
      </w:r>
    </w:p>
    <w:p>
      <w:pPr>
        <w:pStyle w:val="Compact"/>
        <w:numPr>
          <w:ilvl w:val="0"/>
          <w:numId w:val="1001"/>
        </w:numPr>
      </w:pPr>
      <w:r>
        <w:t xml:space="preserve">Gentag trin 6 for glas 3 og glas 4.</w:t>
      </w:r>
    </w:p>
    <w:p>
      <w:pPr>
        <w:pStyle w:val="Compact"/>
        <w:numPr>
          <w:ilvl w:val="0"/>
          <w:numId w:val="1001"/>
        </w:numPr>
      </w:pPr>
      <w:r>
        <w:t xml:space="preserve">Tilsæt til glas 5 først 0,5 mL fortyndet saltsyre (0,1 M) med en plastpipette og derefter 0,5 mL spytamylase. Rør rundt med en ren spatel, tag tiden, og notér farveskiftet som i de øvrige glas.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quarto/share/formats/docx/note.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2"/>
              </w:numPr>
            </w:pPr>
            <w:r>
              <w:t xml:space="preserve">Bægerglas med ca. 100 mL 0,5 % forklistret stivelsesopløsning (fælles)</w:t>
            </w:r>
          </w:p>
          <w:p>
            <w:pPr>
              <w:pStyle w:val="Compact"/>
              <w:numPr>
                <w:ilvl w:val="0"/>
                <w:numId w:val="1002"/>
              </w:numPr>
            </w:pPr>
            <w:r>
              <w:t xml:space="preserve">Reagensglas med 5 % jod-jod-kaliumopløsning (Lugols reagens)</w:t>
            </w:r>
          </w:p>
          <w:p>
            <w:pPr>
              <w:pStyle w:val="Compact"/>
              <w:numPr>
                <w:ilvl w:val="0"/>
                <w:numId w:val="1002"/>
              </w:numPr>
            </w:pPr>
            <w:r>
              <w:t xml:space="preserve">Lille bægerglas til opsamling af spyt</w:t>
            </w:r>
          </w:p>
          <w:p>
            <w:pPr>
              <w:pStyle w:val="Compact"/>
              <w:numPr>
                <w:ilvl w:val="0"/>
                <w:numId w:val="1002"/>
              </w:numPr>
            </w:pPr>
            <w:r>
              <w:t xml:space="preserve">Stativ med 5 reagensglas</w:t>
            </w:r>
          </w:p>
          <w:p>
            <w:pPr>
              <w:pStyle w:val="Compact"/>
              <w:numPr>
                <w:ilvl w:val="0"/>
                <w:numId w:val="1002"/>
              </w:numPr>
            </w:pPr>
            <w:r>
              <w:t xml:space="preserve">10 mL måleglas</w:t>
            </w:r>
          </w:p>
          <w:p>
            <w:pPr>
              <w:pStyle w:val="Compact"/>
              <w:numPr>
                <w:ilvl w:val="0"/>
                <w:numId w:val="1002"/>
              </w:numPr>
            </w:pPr>
            <w:r>
              <w:t xml:space="preserve">Spatel, engangspipetter og en plastpipette</w:t>
            </w:r>
          </w:p>
          <w:p>
            <w:pPr>
              <w:pStyle w:val="Compact"/>
              <w:numPr>
                <w:ilvl w:val="0"/>
                <w:numId w:val="1002"/>
              </w:numPr>
            </w:pPr>
            <w:r>
              <w:t xml:space="preserve">Fortyndet saltsyre (0,1 M HCl)</w:t>
            </w:r>
          </w:p>
          <w:p>
            <w:pPr>
              <w:pStyle w:val="Compact"/>
              <w:numPr>
                <w:ilvl w:val="0"/>
                <w:numId w:val="1002"/>
              </w:numPr>
            </w:pPr>
            <w:r>
              <w:t xml:space="preserve">Stopur</w:t>
            </w:r>
          </w:p>
          <w:p>
            <w:pPr>
              <w:pStyle w:val="Compact"/>
              <w:numPr>
                <w:ilvl w:val="0"/>
                <w:numId w:val="1002"/>
              </w:numPr>
            </w:pPr>
            <w:r>
              <w:t xml:space="preserve">Vandbade ved ca. 15 °C, 40 °C og 80 °C</w:t>
            </w:r>
          </w:p>
          <w:p/>
        </w:tc>
      </w:tr>
    </w:tbl>
    <w:p>
      <w:pPr>
        <w:pStyle w:val="FirstParagraph"/>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keepN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Applications/quarto/share/formats/docx/important.png" id="25" name="Picture"/>
                          <pic:cNvPicPr>
                            <a:picLocks noChangeArrowheads="1" noChangeAspect="1"/>
                          </pic:cNvPicPr>
                        </pic:nvPicPr>
                        <pic:blipFill>
                          <a:blip r:embed="rId2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Sikkerhed</w:t>
            </w:r>
          </w:p>
        </w:tc>
      </w:tr>
      <w:tr>
        <w:trPr>
          <w:cantSplit/>
        </w:trPr>
        <w:tc>
          <w:tcPr>
            <w:tcMar>
              <w:top w:w="108" w:type="dxa"/>
              <w:bottom w:w="108" w:type="dxa"/>
            </w:tcMar>
          </w:tcPr>
          <w:p>
            <w:pPr>
              <w:pStyle w:val="Compact"/>
              <w:numPr>
                <w:ilvl w:val="0"/>
                <w:numId w:val="1003"/>
              </w:numPr>
            </w:pPr>
            <w:r>
              <w:rPr>
                <w:b/>
                <w:bCs/>
              </w:rPr>
              <w:t xml:space="preserve">Jod-jod-kaliumopløsning (Lugols reagens):</w:t>
            </w:r>
            <w:r>
              <w:t xml:space="preserve"> </w:t>
            </w:r>
            <w:r>
              <w:t xml:space="preserve">Farver hud og tøj. Undgå spild, og skyl straks med vand ved kontakt med hud eller øjne.</w:t>
            </w:r>
          </w:p>
          <w:p>
            <w:pPr>
              <w:pStyle w:val="Compact"/>
              <w:numPr>
                <w:ilvl w:val="0"/>
                <w:numId w:val="1003"/>
              </w:numPr>
            </w:pPr>
            <w:r>
              <w:rPr>
                <w:b/>
                <w:bCs/>
              </w:rPr>
              <w:t xml:space="preserve">Saltsyre (HCl):</w:t>
            </w:r>
            <w:r>
              <w:t xml:space="preserve"> </w:t>
            </w:r>
            <w:r>
              <w:t xml:space="preserve">Brug beskyttelsesbriller, undgå kontakt med hud og øjne, og skyl straks med rigeligt vand ved spild.</w:t>
            </w:r>
          </w:p>
          <w:p>
            <w:pPr>
              <w:pStyle w:val="Compact"/>
              <w:numPr>
                <w:ilvl w:val="0"/>
                <w:numId w:val="1003"/>
              </w:numPr>
            </w:pPr>
            <w:r>
              <w:rPr>
                <w:b/>
                <w:bCs/>
              </w:rPr>
              <w:t xml:space="preserve">Vandbadet ved 80 °C:</w:t>
            </w:r>
            <w:r>
              <w:t xml:space="preserve"> </w:t>
            </w:r>
            <w:r>
              <w:t xml:space="preserve">Pas på skoldning — brug klemme eller grydelap, når det varme glas skal håndteres.</w:t>
            </w:r>
          </w:p>
          <w:p>
            <w:pPr>
              <w:pStyle w:val="Compact"/>
              <w:numPr>
                <w:ilvl w:val="0"/>
                <w:numId w:val="1003"/>
              </w:numPr>
            </w:pPr>
            <w:r>
              <w:t xml:space="preserve">Der arbejdes med eget spyt (biologisk materiale). Brug kun jeres eget udstyr, og vask hænder grundigt efter øvelsen.</w:t>
            </w:r>
          </w:p>
          <w:p/>
        </w:tc>
      </w:tr>
    </w:tbl>
    <w:bookmarkEnd w:id="26"/>
    <w:bookmarkStart w:id="28" w:name="registrering-af-målinger"/>
    <w:p>
      <w:pPr>
        <w:pStyle w:val="Heading2"/>
      </w:pPr>
      <w:r>
        <w:t xml:space="preserve">Registrering af målinger</w:t>
      </w:r>
    </w:p>
    <w:tbl>
      <w:tblPr>
        <w:tblStyle w:val="Table"/>
        <w:tblW w:type="pct" w:w="5000"/>
        <w:tblLayout w:type="fixed"/>
        <w:tblLook w:firstRow="0" w:lastRow="0" w:firstColumn="0" w:lastColumn="0" w:noHBand="0" w:noVBand="0" w:val="0000"/>
      </w:tblPr>
      <w:tblGrid>
        <w:gridCol w:w="7920"/>
      </w:tblGrid>
      <w:tr>
        <w:tc>
          <w:tcPr/>
          <w:bookmarkStart w:id="27" w:name="tbl-1"/>
          <w:p>
            <w:pPr>
              <w:jc w:val="center"/>
            </w:pPr>
            <w:pPr>
              <w:jc w:val="left"/>
              <w:spacing w:before="200"/>
              <w:pStyle w:val="ImageCaption"/>
            </w:pPr>
            <w:r>
              <w:t xml:space="preserve">Tabel 1: Forsøgsopstilling og tid for farveskift i de fem glas.</w:t>
            </w:r>
          </w:p>
          <w:tbl>
            <w:tblPr>
              <w:tblStyle w:val="Table"/>
              <w:tblW w:type="auto" w:w="0"/>
              <w:tblLook w:firstRow="1" w:lastRow="0" w:firstColumn="0" w:lastColumn="0" w:noHBand="0" w:noVBand="0" w:val="0020"/>
            </w:tblPr>
            <w:tblGrid>
              <w:gridCol w:w="1584"/>
              <w:gridCol w:w="1584"/>
              <w:gridCol w:w="1584"/>
              <w:gridCol w:w="1584"/>
              <w:gridCol w:w="1584"/>
            </w:tblGrid>
            <w:tr>
              <w:trPr>
                <w:cantSplit/>
                <w:tblHeader w:val="on"/>
              </w:trPr>
              <w:tc>
                <w:tcPr/>
                <w:p>
                  <w:pPr>
                    <w:pStyle w:val="Compact"/>
                    <w:keepNext/>
                    <w:jc w:val="center"/>
                    <w:jc w:val="center"/>
                  </w:pPr>
                  <w:r>
                    <w:t xml:space="preserve">Glas nr.</w:t>
                  </w:r>
                </w:p>
              </w:tc>
              <w:tc>
                <w:tcPr/>
                <w:p>
                  <w:pPr>
                    <w:pStyle w:val="Compact"/>
                    <w:keepNext/>
                    <w:jc w:val="left"/>
                    <w:jc w:val="center"/>
                  </w:pPr>
                  <w:r>
                    <w:t xml:space="preserve">Enzym</w:t>
                  </w:r>
                </w:p>
              </w:tc>
              <w:tc>
                <w:tcPr/>
                <w:p>
                  <w:pPr>
                    <w:pStyle w:val="Compact"/>
                    <w:keepNext/>
                    <w:jc w:val="center"/>
                    <w:jc w:val="center"/>
                  </w:pPr>
                  <w:r>
                    <w:t xml:space="preserve">pH</w:t>
                  </w:r>
                </w:p>
              </w:tc>
              <w:tc>
                <w:tcPr/>
                <w:p>
                  <w:pPr>
                    <w:pStyle w:val="Compact"/>
                    <w:keepNext/>
                    <w:jc w:val="center"/>
                    <w:jc w:val="center"/>
                  </w:pPr>
                  <w:r>
                    <w:t xml:space="preserve">Temperatur</w:t>
                  </w:r>
                </w:p>
              </w:tc>
              <w:tc>
                <w:tcPr/>
                <w:p>
                  <w:pPr>
                    <w:pStyle w:val="Compact"/>
                    <w:keepNext/>
                    <w:jc w:val="center"/>
                    <w:jc w:val="center"/>
                  </w:pPr>
                  <w:r>
                    <w:t xml:space="preserve">Tid for farveskift (blå → gul)</w:t>
                  </w:r>
                </w:p>
              </w:tc>
            </w:tr>
            <w:tr>
              <w:trPr>
                <w:cantSplit/>
              </w:trPr>
              <w:tc>
                <w:tcPr/>
                <w:p>
                  <w:pPr>
                    <w:pStyle w:val="Compact"/>
                    <w:keepNext/>
                    <w:jc w:val="center"/>
                    <w:jc w:val="center"/>
                  </w:pPr>
                  <w:r>
                    <w:t xml:space="preserve">1 (kontrol)</w:t>
                  </w:r>
                </w:p>
              </w:tc>
              <w:tc>
                <w:tcPr/>
                <w:p>
                  <w:pPr>
                    <w:pStyle w:val="Compact"/>
                    <w:keepNext/>
                    <w:jc w:val="left"/>
                    <w:jc w:val="center"/>
                  </w:pPr>
                  <w:r>
                    <w:t xml:space="preserve">Ingen</w:t>
                  </w:r>
                </w:p>
              </w:tc>
              <w:tc>
                <w:tcPr/>
                <w:p>
                  <w:pPr>
                    <w:pStyle w:val="Compact"/>
                    <w:keepNext/>
                    <w:jc w:val="center"/>
                    <w:jc w:val="center"/>
                  </w:pPr>
                  <w:r>
                    <w:t xml:space="preserve">7 (neutral)</w:t>
                  </w:r>
                </w:p>
              </w:tc>
              <w:tc>
                <w:tcPr/>
                <w:p>
                  <w:pPr>
                    <w:pStyle w:val="Compact"/>
                    <w:keepNext/>
                    <w:jc w:val="center"/>
                    <w:jc w:val="center"/>
                  </w:pPr>
                  <w:r>
                    <w:t xml:space="preserve">ca. 40 °C</w:t>
                  </w:r>
                </w:p>
              </w:tc>
              <w:tc>
                <w:tcPr/>
                <w:p>
                  <w:pPr>
                    <w:pStyle w:val="Compact"/>
                    <w:keepNext/>
                  </w:pPr>
                </w:p>
              </w:tc>
            </w:tr>
            <w:tr>
              <w:trPr>
                <w:cantSplit/>
              </w:trPr>
              <w:tc>
                <w:tcPr/>
                <w:p>
                  <w:pPr>
                    <w:pStyle w:val="Compact"/>
                    <w:keepNext/>
                    <w:jc w:val="center"/>
                    <w:jc w:val="center"/>
                  </w:pPr>
                  <w:r>
                    <w:t xml:space="preserve">2</w:t>
                  </w:r>
                </w:p>
              </w:tc>
              <w:tc>
                <w:tcPr/>
                <w:p>
                  <w:pPr>
                    <w:pStyle w:val="Compact"/>
                    <w:keepNext/>
                    <w:jc w:val="left"/>
                    <w:jc w:val="center"/>
                  </w:pPr>
                  <w:r>
                    <w:t xml:space="preserve">Spytamylase</w:t>
                  </w:r>
                </w:p>
              </w:tc>
              <w:tc>
                <w:tcPr/>
                <w:p>
                  <w:pPr>
                    <w:pStyle w:val="Compact"/>
                    <w:keepNext/>
                    <w:jc w:val="center"/>
                    <w:jc w:val="center"/>
                  </w:pPr>
                  <w:r>
                    <w:t xml:space="preserve">7</w:t>
                  </w:r>
                </w:p>
              </w:tc>
              <w:tc>
                <w:tcPr/>
                <w:p>
                  <w:pPr>
                    <w:pStyle w:val="Compact"/>
                    <w:keepNext/>
                    <w:jc w:val="center"/>
                    <w:jc w:val="center"/>
                  </w:pPr>
                  <w:r>
                    <w:t xml:space="preserve">ca. 15 °C</w:t>
                  </w:r>
                </w:p>
              </w:tc>
              <w:tc>
                <w:tcPr/>
                <w:p>
                  <w:pPr>
                    <w:pStyle w:val="Compact"/>
                    <w:keepNext/>
                  </w:pPr>
                </w:p>
              </w:tc>
            </w:tr>
            <w:tr>
              <w:trPr>
                <w:cantSplit/>
              </w:trPr>
              <w:tc>
                <w:tcPr/>
                <w:p>
                  <w:pPr>
                    <w:pStyle w:val="Compact"/>
                    <w:keepNext/>
                    <w:jc w:val="center"/>
                    <w:jc w:val="center"/>
                  </w:pPr>
                  <w:r>
                    <w:t xml:space="preserve">3</w:t>
                  </w:r>
                </w:p>
              </w:tc>
              <w:tc>
                <w:tcPr/>
                <w:p>
                  <w:pPr>
                    <w:pStyle w:val="Compact"/>
                    <w:keepNext/>
                    <w:jc w:val="left"/>
                    <w:jc w:val="center"/>
                  </w:pPr>
                  <w:r>
                    <w:t xml:space="preserve">Spytamylase</w:t>
                  </w:r>
                </w:p>
              </w:tc>
              <w:tc>
                <w:tcPr/>
                <w:p>
                  <w:pPr>
                    <w:pStyle w:val="Compact"/>
                    <w:keepNext/>
                    <w:jc w:val="center"/>
                    <w:jc w:val="center"/>
                  </w:pPr>
                  <w:r>
                    <w:t xml:space="preserve">7</w:t>
                  </w:r>
                </w:p>
              </w:tc>
              <w:tc>
                <w:tcPr/>
                <w:p>
                  <w:pPr>
                    <w:pStyle w:val="Compact"/>
                    <w:keepNext/>
                    <w:jc w:val="center"/>
                    <w:jc w:val="center"/>
                  </w:pPr>
                  <w:r>
                    <w:t xml:space="preserve">ca. 40 °C</w:t>
                  </w:r>
                </w:p>
              </w:tc>
              <w:tc>
                <w:tcPr/>
                <w:p>
                  <w:pPr>
                    <w:pStyle w:val="Compact"/>
                    <w:keepNext/>
                  </w:pPr>
                </w:p>
              </w:tc>
            </w:tr>
            <w:tr>
              <w:trPr>
                <w:cantSplit/>
              </w:trPr>
              <w:tc>
                <w:tcPr/>
                <w:p>
                  <w:pPr>
                    <w:pStyle w:val="Compact"/>
                    <w:keepNext/>
                    <w:jc w:val="center"/>
                    <w:jc w:val="center"/>
                  </w:pPr>
                  <w:r>
                    <w:t xml:space="preserve">4</w:t>
                  </w:r>
                </w:p>
              </w:tc>
              <w:tc>
                <w:tcPr/>
                <w:p>
                  <w:pPr>
                    <w:pStyle w:val="Compact"/>
                    <w:keepNext/>
                    <w:jc w:val="left"/>
                    <w:jc w:val="center"/>
                  </w:pPr>
                  <w:r>
                    <w:t xml:space="preserve">Spytamylase</w:t>
                  </w:r>
                </w:p>
              </w:tc>
              <w:tc>
                <w:tcPr/>
                <w:p>
                  <w:pPr>
                    <w:pStyle w:val="Compact"/>
                    <w:keepNext/>
                    <w:jc w:val="center"/>
                    <w:jc w:val="center"/>
                  </w:pPr>
                  <w:r>
                    <w:t xml:space="preserve">7</w:t>
                  </w:r>
                </w:p>
              </w:tc>
              <w:tc>
                <w:tcPr/>
                <w:p>
                  <w:pPr>
                    <w:pStyle w:val="Compact"/>
                    <w:keepNext/>
                    <w:jc w:val="center"/>
                    <w:jc w:val="center"/>
                  </w:pPr>
                  <w:r>
                    <w:t xml:space="preserve">ca. 80 °C</w:t>
                  </w:r>
                </w:p>
              </w:tc>
              <w:tc>
                <w:tcPr/>
                <w:p>
                  <w:pPr>
                    <w:pStyle w:val="Compact"/>
                    <w:keepNext/>
                  </w:pPr>
                </w:p>
              </w:tc>
            </w:tr>
            <w:tr>
              <w:trPr>
                <w:cantSplit/>
              </w:trPr>
              <w:tc>
                <w:tcPr/>
                <w:p>
                  <w:pPr>
                    <w:pStyle w:val="Compact"/>
                    <w:jc w:val="center"/>
                    <w:jc w:val="center"/>
                  </w:pPr>
                  <w:r>
                    <w:t xml:space="preserve">5</w:t>
                  </w:r>
                </w:p>
              </w:tc>
              <w:tc>
                <w:tcPr/>
                <w:p>
                  <w:pPr>
                    <w:pStyle w:val="Compact"/>
                    <w:jc w:val="left"/>
                    <w:jc w:val="center"/>
                  </w:pPr>
                  <w:r>
                    <w:t xml:space="preserve">Spytamylase</w:t>
                  </w:r>
                </w:p>
              </w:tc>
              <w:tc>
                <w:tcPr/>
                <w:p>
                  <w:pPr>
                    <w:pStyle w:val="Compact"/>
                    <w:jc w:val="center"/>
                    <w:jc w:val="center"/>
                  </w:pPr>
                  <w:r>
                    <w:t xml:space="preserve">2 (saltsyre)</w:t>
                  </w:r>
                </w:p>
              </w:tc>
              <w:tc>
                <w:tcPr/>
                <w:p>
                  <w:pPr>
                    <w:pStyle w:val="Compact"/>
                    <w:jc w:val="center"/>
                    <w:jc w:val="center"/>
                  </w:pPr>
                  <w:r>
                    <w:t xml:space="preserve">ca. 40 °C</w:t>
                  </w:r>
                </w:p>
              </w:tc>
              <w:tc>
                <w:tcPr/>
                <w:p>
                  <w:pPr>
                    <w:pStyle w:val="Compact"/>
                  </w:pPr>
                </w:p>
              </w:tc>
            </w:tr>
          </w:tbl>
          <w:bookmarkEnd w:id="27"/>
          <w:p/>
        </w:tc>
      </w:tr>
    </w:tbl>
    <w:bookmarkEnd w:id="28"/>
    <w:bookmarkStart w:id="30" w:name="databehandling"/>
    <w:p>
      <w:pPr>
        <w:pStyle w:val="Heading2"/>
      </w:pPr>
      <w:r>
        <w:t xml:space="preserve">Databehandling</w:t>
      </w:r>
    </w:p>
    <w:p>
      <w:pPr>
        <w:pStyle w:val="Compact"/>
        <w:numPr>
          <w:ilvl w:val="0"/>
          <w:numId w:val="1004"/>
        </w:numPr>
      </w:pPr>
      <w:r>
        <w:t xml:space="preserve">Omregn tiderne fra</w:t>
      </w:r>
      <w:r>
        <w:t xml:space="preserve"> </w:t>
      </w:r>
      <w:hyperlink w:anchor="tbl-1">
        <w:r>
          <w:rPr>
            <w:rStyle w:val="Hyperlink"/>
          </w:rPr>
          <w:t xml:space="preserve">Tabel 1</w:t>
        </w:r>
      </w:hyperlink>
      <w:r>
        <w:t xml:space="preserve"> </w:t>
      </w:r>
      <w:r>
        <w:t xml:space="preserve">til en relativ reaktionshastighed for hvert af glassene 2-5:</w:t>
      </w:r>
    </w:p>
    <w:p>
      <w:pPr>
        <w:pStyle w:val="FirstParagraph"/>
      </w:pPr>
      <m:oMathPara>
        <m:oMathParaPr>
          <m:jc m:val="center"/>
        </m:oMathParaPr>
        <m:oMath>
          <m:r>
            <m:t>v</m:t>
          </m:r>
          <m:r>
            <m:rPr>
              <m:sty m:val="p"/>
            </m:rPr>
            <m:t>=</m:t>
          </m:r>
          <m:f>
            <m:fPr>
              <m:type m:val="bar"/>
            </m:fPr>
            <m:num>
              <m:r>
                <m:t>1</m:t>
              </m:r>
            </m:num>
            <m:den>
              <m:r>
                <m:t>t</m:t>
              </m:r>
            </m:den>
          </m:f>
        </m:oMath>
      </m:oMathPara>
    </w:p>
    <w:p>
      <w:pPr>
        <w:pStyle w:val="FirstParagraph"/>
      </w:pPr>
      <w:r>
        <w:t xml:space="preserve">hvor</w:t>
      </w:r>
      <w:r>
        <w:t xml:space="preserve"> </w:t>
      </w:r>
      <m:oMath>
        <m:r>
          <m:t>t</m:t>
        </m:r>
      </m:oMath>
      <w:r>
        <w:t xml:space="preserve"> </w:t>
      </w:r>
      <w:r>
        <w:t xml:space="preserve">er tiden i sekunder fra tilsætning af spytamylase til farveskiftet fra blå til gul, og</w:t>
      </w:r>
      <w:r>
        <w:t xml:space="preserve"> </w:t>
      </w:r>
      <m:oMath>
        <m:r>
          <m:t>v</m:t>
        </m:r>
      </m:oMath>
      <w:r>
        <w:t xml:space="preserve"> </w:t>
      </w:r>
      <w:r>
        <w:t xml:space="preserve">dermed har enheden</w:t>
      </w:r>
      <w:r>
        <w:t xml:space="preserve"> </w:t>
      </w:r>
      <m:oMath>
        <m:sSup>
          <m:e>
            <m:r>
              <m:rPr>
                <m:nor/>
                <m:sty m:val="p"/>
              </m:rPr>
              <m:t>s</m:t>
            </m:r>
          </m:e>
          <m:sup>
            <m:r>
              <m:rPr>
                <m:sty m:val="p"/>
              </m:rPr>
              <m:t>−</m:t>
            </m:r>
            <m:r>
              <m:t>1</m:t>
            </m:r>
          </m:sup>
        </m:sSup>
      </m:oMath>
      <w:r>
        <w:t xml:space="preserve">. Jo kortere tid, jo højere hastighed. Sæt tallene ind i</w:t>
      </w:r>
      <w:r>
        <w:t xml:space="preserve"> </w:t>
      </w:r>
      <w:hyperlink w:anchor="tbl-2">
        <w:r>
          <w:rPr>
            <w:rStyle w:val="Hyperlink"/>
          </w:rPr>
          <w:t xml:space="preserve">Tabel 2</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9" w:name="tbl-2"/>
          <w:p>
            <w:pPr>
              <w:jc w:val="center"/>
            </w:pPr>
            <w:pPr>
              <w:jc w:val="left"/>
              <w:spacing w:before="200"/>
              <w:pStyle w:val="ImageCaption"/>
            </w:pPr>
            <w:r>
              <w:t xml:space="preserve">Tabel 2: De beregnede reaktionshastigheder, udledt af</w:t>
            </w:r>
            <w:r>
              <w:t xml:space="preserve"> </w:t>
            </w:r>
            <w:hyperlink w:anchor="tbl-1">
              <w:r>
                <w:rPr>
                  <w:rStyle w:val="Hyperlink"/>
                </w:rPr>
                <w:t xml:space="preserve">Tabel 1</w:t>
              </w:r>
            </w:hyperlink>
            <w:r>
              <w:t xml:space="preserve">.</w:t>
            </w:r>
          </w:p>
          <w:tbl>
            <w:tblPr>
              <w:tblStyle w:val="Table"/>
              <w:tblW w:type="pct" w:w="5000"/>
              <w:tblLayout w:type="fixed"/>
              <w:tblLook w:firstRow="1" w:lastRow="0" w:firstColumn="0" w:lastColumn="0" w:noHBand="0" w:noVBand="0" w:val="0020"/>
            </w:tblPr>
            <w:tblGrid>
              <w:gridCol w:w="2084"/>
              <w:gridCol w:w="1667"/>
              <w:gridCol w:w="2084"/>
              <w:gridCol w:w="2084"/>
            </w:tblGrid>
            <w:tr>
              <w:trPr>
                <w:cantSplit/>
                <w:tblHeader w:val="on"/>
              </w:trPr>
              <w:tc>
                <w:tcPr/>
                <w:p>
                  <w:pPr>
                    <w:pStyle w:val="Compact"/>
                    <w:keepNext/>
                    <w:jc w:val="center"/>
                    <w:jc w:val="center"/>
                  </w:pPr>
                  <w:r>
                    <w:t xml:space="preserve">Glas nr.</w:t>
                  </w:r>
                </w:p>
              </w:tc>
              <w:tc>
                <w:tcPr/>
                <w:p>
                  <w:pPr>
                    <w:pStyle w:val="Compact"/>
                    <w:keepNext/>
                    <w:jc w:val="left"/>
                    <w:jc w:val="center"/>
                  </w:pPr>
                  <w:r>
                    <w:t xml:space="preserve">Variabel</w:t>
                  </w:r>
                </w:p>
              </w:tc>
              <w:tc>
                <w:tcPr/>
                <w:p>
                  <w:pPr>
                    <w:pStyle w:val="Compact"/>
                    <w:keepNext/>
                    <w:jc w:val="center"/>
                    <w:jc w:val="center"/>
                  </w:pPr>
                  <w:r>
                    <w:t xml:space="preserve">Tid</w:t>
                  </w:r>
                  <w:r>
                    <w:t xml:space="preserve"> </w:t>
                  </w:r>
                  <m:oMath>
                    <m:r>
                      <m:t>t</m:t>
                    </m:r>
                  </m:oMath>
                  <w:r>
                    <w:t xml:space="preserve"> </w:t>
                  </w:r>
                  <w:r>
                    <w:t xml:space="preserve">(s)</w:t>
                  </w:r>
                </w:p>
              </w:tc>
              <w:tc>
                <w:tcPr/>
                <w:p>
                  <w:pPr>
                    <w:pStyle w:val="Compact"/>
                    <w:keepNext/>
                    <w:jc w:val="center"/>
                    <w:jc w:val="center"/>
                  </w:pPr>
                  <w:r>
                    <w:t xml:space="preserve">Hastighed</w:t>
                  </w:r>
                  <w:r>
                    <w:t xml:space="preserve"> </w:t>
                  </w:r>
                  <m:oMath>
                    <m:r>
                      <m:t>v</m:t>
                    </m:r>
                    <m:r>
                      <m:rPr>
                        <m:sty m:val="p"/>
                      </m:rPr>
                      <m:t>=</m:t>
                    </m:r>
                    <m:r>
                      <m:t>1</m:t>
                    </m:r>
                    <m:r>
                      <m:rPr>
                        <m:sty m:val="p"/>
                      </m:rPr>
                      <m:t>/</m:t>
                    </m:r>
                    <m:r>
                      <m:t>t</m:t>
                    </m:r>
                  </m:oMath>
                  <w:r>
                    <w:t xml:space="preserve"> </w:t>
                  </w:r>
                  <w:r>
                    <w:t xml:space="preserve">(</w:t>
                  </w:r>
                  <m:oMath>
                    <m:sSup>
                      <m:e>
                        <m:r>
                          <m:rPr>
                            <m:nor/>
                            <m:sty m:val="p"/>
                          </m:rPr>
                          <m:t>s</m:t>
                        </m:r>
                      </m:e>
                      <m:sup>
                        <m:r>
                          <m:rPr>
                            <m:sty m:val="p"/>
                          </m:rPr>
                          <m:t>−</m:t>
                        </m:r>
                        <m:r>
                          <m:t>1</m:t>
                        </m:r>
                      </m:sup>
                    </m:sSup>
                  </m:oMath>
                  <w:r>
                    <w:t xml:space="preserve">)</w:t>
                  </w:r>
                </w:p>
              </w:tc>
            </w:tr>
            <w:tr>
              <w:trPr>
                <w:cantSplit/>
              </w:trPr>
              <w:tc>
                <w:tcPr/>
                <w:p>
                  <w:pPr>
                    <w:pStyle w:val="Compact"/>
                    <w:keepNext/>
                    <w:jc w:val="center"/>
                    <w:jc w:val="center"/>
                  </w:pPr>
                  <w:r>
                    <w:t xml:space="preserve">2</w:t>
                  </w:r>
                </w:p>
              </w:tc>
              <w:tc>
                <w:tcPr/>
                <w:p>
                  <w:pPr>
                    <w:pStyle w:val="Compact"/>
                    <w:keepNext/>
                    <w:jc w:val="left"/>
                    <w:jc w:val="center"/>
                  </w:pPr>
                  <w:r>
                    <w:t xml:space="preserve">ca. 15 °C, pH 7</w:t>
                  </w:r>
                </w:p>
              </w:tc>
              <w:tc>
                <w:tcPr/>
                <w:p>
                  <w:pPr>
                    <w:pStyle w:val="Compact"/>
                    <w:keepNext/>
                  </w:pPr>
                </w:p>
              </w:tc>
              <w:tc>
                <w:tcPr/>
                <w:p>
                  <w:pPr>
                    <w:pStyle w:val="Compact"/>
                    <w:keepNext/>
                  </w:pPr>
                </w:p>
              </w:tc>
            </w:tr>
            <w:tr>
              <w:trPr>
                <w:cantSplit/>
              </w:trPr>
              <w:tc>
                <w:tcPr/>
                <w:p>
                  <w:pPr>
                    <w:pStyle w:val="Compact"/>
                    <w:keepNext/>
                    <w:jc w:val="center"/>
                    <w:jc w:val="center"/>
                  </w:pPr>
                  <w:r>
                    <w:t xml:space="preserve">3</w:t>
                  </w:r>
                </w:p>
              </w:tc>
              <w:tc>
                <w:tcPr/>
                <w:p>
                  <w:pPr>
                    <w:pStyle w:val="Compact"/>
                    <w:keepNext/>
                    <w:jc w:val="left"/>
                    <w:jc w:val="center"/>
                  </w:pPr>
                  <w:r>
                    <w:t xml:space="preserve">ca. 40 °C, pH 7</w:t>
                  </w:r>
                </w:p>
              </w:tc>
              <w:tc>
                <w:tcPr/>
                <w:p>
                  <w:pPr>
                    <w:pStyle w:val="Compact"/>
                    <w:keepNext/>
                  </w:pPr>
                </w:p>
              </w:tc>
              <w:tc>
                <w:tcPr/>
                <w:p>
                  <w:pPr>
                    <w:pStyle w:val="Compact"/>
                    <w:keepNext/>
                  </w:pPr>
                </w:p>
              </w:tc>
            </w:tr>
            <w:tr>
              <w:trPr>
                <w:cantSplit/>
              </w:trPr>
              <w:tc>
                <w:tcPr/>
                <w:p>
                  <w:pPr>
                    <w:pStyle w:val="Compact"/>
                    <w:keepNext/>
                    <w:jc w:val="center"/>
                    <w:jc w:val="center"/>
                  </w:pPr>
                  <w:r>
                    <w:t xml:space="preserve">4</w:t>
                  </w:r>
                </w:p>
              </w:tc>
              <w:tc>
                <w:tcPr/>
                <w:p>
                  <w:pPr>
                    <w:pStyle w:val="Compact"/>
                    <w:keepNext/>
                    <w:jc w:val="left"/>
                    <w:jc w:val="center"/>
                  </w:pPr>
                  <w:r>
                    <w:t xml:space="preserve">ca. 80 °C, pH 7</w:t>
                  </w:r>
                </w:p>
              </w:tc>
              <w:tc>
                <w:tcPr/>
                <w:p>
                  <w:pPr>
                    <w:pStyle w:val="Compact"/>
                    <w:keepNext/>
                  </w:pPr>
                </w:p>
              </w:tc>
              <w:tc>
                <w:tcPr/>
                <w:p>
                  <w:pPr>
                    <w:pStyle w:val="Compact"/>
                    <w:keepNext/>
                  </w:pPr>
                </w:p>
              </w:tc>
            </w:tr>
            <w:tr>
              <w:trPr>
                <w:cantSplit/>
              </w:trPr>
              <w:tc>
                <w:tcPr/>
                <w:p>
                  <w:pPr>
                    <w:pStyle w:val="Compact"/>
                    <w:jc w:val="center"/>
                    <w:jc w:val="center"/>
                  </w:pPr>
                  <w:r>
                    <w:t xml:space="preserve">5</w:t>
                  </w:r>
                </w:p>
              </w:tc>
              <w:tc>
                <w:tcPr/>
                <w:p>
                  <w:pPr>
                    <w:pStyle w:val="Compact"/>
                    <w:jc w:val="left"/>
                    <w:jc w:val="center"/>
                  </w:pPr>
                  <w:r>
                    <w:t xml:space="preserve">ca. 40 °C, pH 2</w:t>
                  </w:r>
                </w:p>
              </w:tc>
              <w:tc>
                <w:tcPr/>
                <w:p>
                  <w:pPr>
                    <w:pStyle w:val="Compact"/>
                  </w:pPr>
                </w:p>
              </w:tc>
              <w:tc>
                <w:tcPr/>
                <w:p>
                  <w:pPr>
                    <w:pStyle w:val="Compact"/>
                  </w:pPr>
                </w:p>
              </w:tc>
            </w:tr>
          </w:tbl>
          <w:bookmarkEnd w:id="29"/>
          <w:p/>
        </w:tc>
      </w:tr>
    </w:tbl>
    <w:p>
      <w:pPr>
        <w:pStyle w:val="Compact"/>
        <w:numPr>
          <w:ilvl w:val="0"/>
          <w:numId w:val="1005"/>
        </w:numPr>
      </w:pPr>
      <w:r>
        <w:t xml:space="preserve">Lav et søjlediagram, der viser hastigheden</w:t>
      </w:r>
      <w:r>
        <w:t xml:space="preserve"> </w:t>
      </w:r>
      <m:oMath>
        <m:r>
          <m:t>v</m:t>
        </m:r>
      </m:oMath>
      <w:r>
        <w:t xml:space="preserve"> </w:t>
      </w:r>
      <w:r>
        <w:t xml:space="preserve">som funktion af temperaturen (glas 2, 3 og 4), med temperatur på x-aksen og</w:t>
      </w:r>
      <w:r>
        <w:t xml:space="preserve"> </w:t>
      </w:r>
      <m:oMath>
        <m:r>
          <m:t>v</m:t>
        </m:r>
      </m:oMath>
      <w:r>
        <w:t xml:space="preserve"> </w:t>
      </w:r>
      <w:r>
        <w:t xml:space="preserve">på y-aksen.</w:t>
      </w:r>
    </w:p>
    <w:p>
      <w:pPr>
        <w:pStyle w:val="Compact"/>
        <w:numPr>
          <w:ilvl w:val="0"/>
          <w:numId w:val="1005"/>
        </w:numPr>
      </w:pPr>
      <w:r>
        <w:t xml:space="preserve">Lav et andet søjlediagram, der sammenligner hastigheden ved pH 7 og pH 2 ved samme temperatur (glas 3 og 5).</w:t>
      </w:r>
    </w:p>
    <w:p>
      <w:pPr>
        <w:pStyle w:val="Compact"/>
        <w:numPr>
          <w:ilvl w:val="0"/>
          <w:numId w:val="1005"/>
        </w:numPr>
      </w:pPr>
      <w:r>
        <w:t xml:space="preserve">Beskriv ud fra de to diagrammer, hvordan temperatur henholdsvis pH påvirker spytamylasens reaktionshastighed. Nævn især, om sammenhængen med temperatur er lige så enkel (</w:t>
      </w:r>
      <w:r>
        <w:t xml:space="preserve">“jo varmere, jo hurtigere”</w:t>
      </w:r>
      <w:r>
        <w:t xml:space="preserve">) hele vejen, eller om der sker noget særligt ved den højeste temperatur.</w:t>
      </w:r>
    </w:p>
    <w:bookmarkEnd w:id="30"/>
    <w:bookmarkStart w:id="31" w:name="journalspørgsmål"/>
    <w:p>
      <w:pPr>
        <w:pStyle w:val="Heading2"/>
      </w:pPr>
      <w:r>
        <w:t xml:space="preserve">Journalspørgsmål</w:t>
      </w:r>
    </w:p>
    <w:p>
      <w:pPr>
        <w:pStyle w:val="Compact"/>
        <w:numPr>
          <w:ilvl w:val="0"/>
          <w:numId w:val="1006"/>
        </w:numPr>
      </w:pPr>
      <w:r>
        <w:t xml:space="preserve">Hvad viser kontrolforsøget (glas 1)? Hvorfor holdes temperaturen i kontrollen og i pH-forsøget (glas 5) den samme som i glas 3 — og hvorfor giver det mening at gøre det ved netop pH 7?</w:t>
      </w:r>
    </w:p>
    <w:p>
      <w:pPr>
        <w:pStyle w:val="Compact"/>
        <w:numPr>
          <w:ilvl w:val="0"/>
          <w:numId w:val="1006"/>
        </w:numPr>
      </w:pPr>
      <w:r>
        <w:t xml:space="preserve">Hvilken effekt har temperatur på amylaseaktiviteten? Brug jeres resultater fra glas 2-4 og begreberne</w:t>
      </w:r>
      <w:r>
        <w:t xml:space="preserve"> </w:t>
      </w:r>
      <w:r>
        <w:rPr>
          <w:i/>
          <w:iCs/>
        </w:rPr>
        <w:t xml:space="preserve">aktivt center</w:t>
      </w:r>
      <w:r>
        <w:t xml:space="preserve"> </w:t>
      </w:r>
      <w:r>
        <w:t xml:space="preserve">og</w:t>
      </w:r>
      <w:r>
        <w:t xml:space="preserve"> </w:t>
      </w:r>
      <w:r>
        <w:rPr>
          <w:i/>
          <w:iCs/>
        </w:rPr>
        <w:t xml:space="preserve">denaturering</w:t>
      </w:r>
      <w:r>
        <w:t xml:space="preserve"> </w:t>
      </w:r>
      <w:r>
        <w:t xml:space="preserve">i svaret.</w:t>
      </w:r>
    </w:p>
    <w:p>
      <w:pPr>
        <w:pStyle w:val="Compact"/>
        <w:numPr>
          <w:ilvl w:val="0"/>
          <w:numId w:val="1006"/>
        </w:numPr>
      </w:pPr>
      <w:r>
        <w:t xml:space="preserve">Hvilken effekt har pH på amylaseaktiviteten? Sammenlign jeres resultat fra glas 5 med pH-forholdene i mavesækken, og forklar, hvorfor det er vigtigt, at kroppen tilfører amylase fra bugspytkirtlen og ikke kun fra spytkirtlerne i munden.</w:t>
      </w:r>
    </w:p>
    <w:p>
      <w:pPr>
        <w:pStyle w:val="Compact"/>
        <w:numPr>
          <w:ilvl w:val="0"/>
          <w:numId w:val="1006"/>
        </w:numPr>
      </w:pPr>
      <w:r>
        <w:t xml:space="preserve">Gik noget galt undervejs — glas der ikke nåede den rigtige temperatur, upræcis tidtagning, forurenet spatel? Skriv hvad, og vurdér, hvilken vej det trak jeres tider.</w:t>
      </w:r>
    </w:p>
    <w:p>
      <w:pPr>
        <w:pStyle w:val="Compact"/>
        <w:numPr>
          <w:ilvl w:val="0"/>
          <w:numId w:val="1006"/>
        </w:numPr>
      </w:pPr>
      <w:r>
        <w:rPr>
          <w:b/>
          <w:bCs/>
        </w:rPr>
        <w:t xml:space="preserve">Perspektivering.</w:t>
      </w:r>
      <w:r>
        <w:t xml:space="preserve"> </w:t>
      </w:r>
      <w:r>
        <w:t xml:space="preserve">Hvorfor giver det ikke meget mening at tygge maden længe for at</w:t>
      </w:r>
      <w:r>
        <w:t xml:space="preserve"> </w:t>
      </w:r>
      <w:r>
        <w:t xml:space="preserve">“fordøje mere stivelse”</w:t>
      </w:r>
      <w:r>
        <w:t xml:space="preserve"> </w:t>
      </w:r>
      <w:r>
        <w:t xml:space="preserve">i munden, når stivelsen alligevel skal videre til mavesækken? Hvad sker der med den amylase, der stadig er i madklumpen, når den når mavesækken?</w:t>
      </w:r>
    </w:p>
    <w:p>
      <w:pPr>
        <w:pStyle w:val="Compact"/>
        <w:numPr>
          <w:ilvl w:val="0"/>
          <w:numId w:val="1006"/>
        </w:numPr>
      </w:pPr>
      <w:r>
        <w:t xml:space="preserve">Saml op: hvad viste forsøget samlet set om spytamylase og om, hvad temperatur og pH betyder for et enzyms aktivitet?</w:t>
      </w:r>
    </w:p>
    <w:bookmarkEnd w:id="31"/>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3" Target="media/rId23.png" /><Relationship Type="http://schemas.openxmlformats.org/officeDocument/2006/relationships/image" Id="rId20" Target="media/rId20.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Spytamylases nedbrydning af stivelse</dc:title>
  <dc:creator/>
  <dc:language>da</dc:language>
  <cp:keywords/>
  <dcterms:created xsi:type="dcterms:W3CDTF">2026-09-14T20:20:49Z</dcterms:created>
  <dcterms:modified xsi:type="dcterms:W3CDTF">2026-09-14T20:20:49Z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Laboratorieøvelse</vt:lpwstr>
  </property>
  <property fmtid="{D5CDD505-2E9C-101B-9397-08002B2CF9AE}" pid="11" name="toc-title">
    <vt:lpwstr>Indholdsfortegnelse</vt:lpwstr>
  </property>
</Properties>
</file>