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media/rId30.png" ContentType="image/png"/>
  <Override PartName="/word/media/rId27.png" ContentType="image/png"/>
  <Override PartName="/word/media/rId24.png" ContentType="image/png"/>
  <Override PartName="/word/media/rId20.png" ContentType="image/png"/>
  <Override PartName="/word/media/ff4355ab3d7b3fb047ac1bb9b81f09919282c810.png" ContentType="image/png"/>
  <Override PartName="/word/media/22118e1eede36edf4136c10d3e20d9ff95fafa9e.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a="http://schemas.openxmlformats.org/drawingml/2006/main" xmlns:m="http://schemas.openxmlformats.org/officeDocument/2006/math" xmlns:pic="http://schemas.openxmlformats.org/drawingml/2006/picture" xmlns:r="http://schemas.openxmlformats.org/officeDocument/2006/relationships" xmlns:w="http://schemas.openxmlformats.org/wordprocessingml/2006/main" xmlns:wp="http://schemas.openxmlformats.org/drawingml/2006/wordprocessingDrawing">
  <w:body>
    <w:p>
      <w:pPr>
        <w:pStyle w:val="Title"/>
      </w:pPr>
      <w:r>
        <w:t xml:space="preserve">Peak Flow-måling</w:t>
      </w:r>
    </w:p>
    <w:p>
      <w:pPr>
        <w:pStyle w:val="Subtitle"/>
      </w:pPr>
      <w:r>
        <w:t xml:space="preserve">Undersøgelse af ventilationsevnen</w:t>
      </w:r>
    </w:p>
    <w:p>
      <w:pPr>
        <w:pStyle w:val="FirstParagraph"/>
      </w:pPr>
      <w:r>
        <w:rPr>
          <w:b/>
          <w:bCs/>
        </w:rPr>
        <w:t xml:space="preserve">Dato:</w:t>
      </w:r>
      <w:r>
        <w:t xml:space="preserve"> </w:t>
      </w:r>
      <w:r>
        <w:t xml:space="preserve">____________________     </w:t>
      </w:r>
      <w:r>
        <w:t xml:space="preserve"> </w:t>
      </w:r>
      <w:r>
        <w:rPr>
          <w:b/>
          <w:bCs/>
        </w:rPr>
        <w:t xml:space="preserve">Gruppe / navne:</w:t>
      </w:r>
      <w:r>
        <w:t xml:space="preserve"> </w:t>
      </w:r>
      <w:r>
        <w:t xml:space="preserve">____________________________________________</w:t>
      </w:r>
    </w:p>
    <w:bookmarkStart w:id="19" w:name="om-øvelsen"/>
    <w:p>
      <w:pPr>
        <w:pStyle w:val="Heading2"/>
      </w:pPr>
      <w:r>
        <w:t xml:space="preserve">Om øvelsen</w:t>
      </w:r>
    </w:p>
    <w:p>
      <w:pPr>
        <w:pStyle w:val="FirstParagraph"/>
      </w:pPr>
      <w:r>
        <w:t xml:space="preserve">Vitalkapaciteten fortæller, hvor meget luft lungerne kan rumme, men ikke hvor let luften kan komme ud af dem. Har man astma, er bronkiegrenene forsnævrede, og så kan vitalkapaciteten godt være normal, selvom ventilationsevnen er nedsat. Ventilationsevnen måles i stedet som luftens største strømningshastighed under en kraftig udånding —</w:t>
      </w:r>
      <w:r>
        <w:t xml:space="preserve"> </w:t>
      </w:r>
      <w:r>
        <w:rPr>
          <w:b/>
          <w:bCs/>
        </w:rPr>
        <w:t xml:space="preserve">Peak Flow</w:t>
      </w:r>
      <w:r>
        <w:t xml:space="preserve"> </w:t>
      </w:r>
      <w:r>
        <w:t xml:space="preserve">— i liter pr. minut.</w:t>
      </w:r>
    </w:p>
    <w:p>
      <w:pPr>
        <w:pStyle w:val="BodyText"/>
      </w:pPr>
      <w:r>
        <w:t xml:space="preserve">I skal måle jeres eget Peak Flow med et peakflow-meter, sammenligne det med den værdi, der er forventet for jeres køn, alder og højde, og til sidst samle klassens tal, så I kan sammenligne kønnene.</w:t>
      </w:r>
    </w:p>
    <w:bookmarkEnd w:id="19"/>
    <w:bookmarkStart w:id="33" w:name="fremgangsmåde"/>
    <w:p>
      <w:pPr>
        <w:pStyle w:val="Heading2"/>
      </w:pPr>
      <w:r>
        <w:t xml:space="preserve">Fremgangsmåde</w:t>
      </w:r>
    </w:p>
    <w:p>
      <w:pPr>
        <w:pStyle w:val="Compact"/>
        <w:numPr>
          <w:ilvl w:val="0"/>
          <w:numId w:val="1001"/>
        </w:numPr>
      </w:pPr>
      <w:r>
        <w:t xml:space="preserve">Mål jeres højde uden sko, og notér den sammen med køn og alder i skemaet.</w:t>
      </w:r>
    </w:p>
    <w:p>
      <w:pPr>
        <w:pStyle w:val="Compact"/>
        <w:numPr>
          <w:ilvl w:val="0"/>
          <w:numId w:val="1001"/>
        </w:numPr>
      </w:pPr>
      <w:r>
        <w:t xml:space="preserve">Sæt et nyt engangsmundstykke på peakflow-metrets rør, og skub viseren tilbage til nul i bunden af skalaen.</w:t>
      </w:r>
    </w:p>
    <w:p>
      <w:pPr>
        <w:pStyle w:val="Compact"/>
        <w:numPr>
          <w:ilvl w:val="0"/>
          <w:numId w:val="1001"/>
        </w:numPr>
      </w:pPr>
      <w:r>
        <w:t xml:space="preserve">Stå oprejst, og hold apparatet vandret. Pas på ikke at dække skalaen eller blokere viseren med fingrene.</w:t>
      </w:r>
    </w:p>
    <w:p>
      <w:pPr>
        <w:pStyle w:val="Compact"/>
        <w:numPr>
          <w:ilvl w:val="0"/>
          <w:numId w:val="1001"/>
        </w:numPr>
      </w:pPr>
      <w:r>
        <w:t xml:space="preserve">Tag en så dyb indånding som muligt, og luk læberne tæt om mundstykket.</w:t>
      </w:r>
    </w:p>
    <w:p>
      <w:pPr>
        <w:pStyle w:val="Compact"/>
        <w:numPr>
          <w:ilvl w:val="0"/>
          <w:numId w:val="1001"/>
        </w:numPr>
      </w:pPr>
      <w:r>
        <w:t xml:space="preserve">Blæs ud så kraftigt og så hurtigt, som det overhovedet er muligt — ét kort, eksplosivt pust. Her tæller</w:t>
      </w:r>
      <w:r>
        <w:t xml:space="preserve"> </w:t>
      </w:r>
      <w:r>
        <w:rPr>
          <w:b/>
          <w:bCs/>
        </w:rPr>
        <w:t xml:space="preserve">hastigheden</w:t>
      </w:r>
      <w:r>
        <w:t xml:space="preserve">, ikke hvor længe I kan blive ved.</w:t>
      </w:r>
    </w:p>
    <w:p>
      <w:pPr>
        <w:pStyle w:val="Compact"/>
        <w:numPr>
          <w:ilvl w:val="0"/>
          <w:numId w:val="1001"/>
        </w:numPr>
      </w:pPr>
      <w:r>
        <w:t xml:space="preserve">Aflæs viserens position på skalaen (L/min), og notér værdien.</w:t>
      </w:r>
    </w:p>
    <w:p>
      <w:pPr>
        <w:pStyle w:val="Compact"/>
        <w:numPr>
          <w:ilvl w:val="0"/>
          <w:numId w:val="1001"/>
        </w:numPr>
      </w:pPr>
      <w:r>
        <w:t xml:space="preserve">Nulstil viseren, og gentag i alt tre gange. Jeres Peak Flow er den</w:t>
      </w:r>
      <w:r>
        <w:t xml:space="preserve"> </w:t>
      </w:r>
      <w:r>
        <w:rPr>
          <w:b/>
          <w:bCs/>
        </w:rPr>
        <w:t xml:space="preserve">højeste</w:t>
      </w:r>
      <w:r>
        <w:t xml:space="preserve"> </w:t>
      </w:r>
      <w:r>
        <w:t xml:space="preserve">af de tre værdier.</w:t>
      </w:r>
    </w:p>
    <w:p>
      <w:pPr>
        <w:pStyle w:val="Compact"/>
        <w:numPr>
          <w:ilvl w:val="0"/>
          <w:numId w:val="1001"/>
        </w:numPr>
      </w:pPr>
      <w:r>
        <w:t xml:space="preserve">Aflæs jeres forventede Peak Flow i</w:t>
      </w:r>
      <w:r>
        <w:t xml:space="preserve"> </w:t>
      </w:r>
      <w:hyperlink w:anchor="fig-diagram">
        <w:r>
          <w:rPr>
            <w:rStyle w:val="Hyperlink"/>
          </w:rPr>
          <w:t xml:space="preserve">Figur 1</w:t>
        </w:r>
      </w:hyperlink>
      <w:r>
        <w:t xml:space="preserve">, og beregn afvigelsen mellem den målte og den forventede værdi (se afsnittet Registrering af målinger).</w:t>
      </w:r>
    </w:p>
    <w:p>
      <w:pPr>
        <w:pStyle w:val="Compact"/>
        <w:numPr>
          <w:ilvl w:val="0"/>
          <w:numId w:val="1001"/>
        </w:numPr>
      </w:pPr>
      <w:r>
        <w:t xml:space="preserve">Tør mundstykket og apparatet af med sprit og papir efter brug.</w:t>
      </w:r>
    </w:p>
    <w:tbl>
      <w:tblPr>
        <w:tblStyle w:val="Table"/>
        <w:tblW w:type="pct" w:w="5000"/>
        <w:tblLayout w:type="fixed"/>
        <w:tblLook w:firstRow="0" w:lastRow="0" w:firstColumn="0" w:lastColumn="0" w:noHBand="0" w:noVBand="0" w:val="0000"/>
      </w:tblPr>
      <w:tblGrid>
        <w:gridCol w:w="7920"/>
      </w:tblGrid>
      <w:tr>
        <w:tc>
          <w:tcPr/>
          <w:bookmarkStart w:id="23" w:name="fig-diagram"/>
          <w:p>
            <w:pPr>
              <w:pStyle w:val="Compact"/>
              <w:jc w:val="center"/>
            </w:pPr>
            <w:r>
              <w:drawing>
                <wp:inline>
                  <wp:extent cx="4267200" cy="4021197"/>
                  <wp:effectExtent b="0" l="0" r="0" t="0"/>
                  <wp:docPr descr="" title="" id="21" name="Picture"/>
                  <a:graphic>
                    <a:graphicData uri="http://schemas.openxmlformats.org/drawingml/2006/picture">
                      <pic:pic>
                        <pic:nvPicPr>
                          <pic:cNvPr descr="figurer/peak-flow-diagram.png" id="22" name="Picture"/>
                          <pic:cNvPicPr>
                            <a:picLocks noChangeArrowheads="1" noChangeAspect="1"/>
                          </pic:cNvPicPr>
                        </pic:nvPicPr>
                        <pic:blipFill>
                          <a:blip r:embed="rId20"/>
                          <a:stretch>
                            <a:fillRect/>
                          </a:stretch>
                        </pic:blipFill>
                        <pic:spPr bwMode="auto">
                          <a:xfrm>
                            <a:off x="0" y="0"/>
                            <a:ext cx="4267200" cy="4021197"/>
                          </a:xfrm>
                          <a:prstGeom prst="rect">
                            <a:avLst/>
                          </a:prstGeom>
                          <a:noFill/>
                          <a:ln w="9525">
                            <a:noFill/>
                            <a:headEnd/>
                            <a:tailEnd/>
                          </a:ln>
                        </pic:spPr>
                      </pic:pic>
                    </a:graphicData>
                  </a:graphic>
                </wp:inline>
              </w:drawing>
            </w:r>
          </w:p>
          <w:p>
            <w:pPr>
              <w:jc w:val="center"/>
            </w:pPr>
            <w:pPr>
              <w:jc w:val="left"/>
              <w:spacing w:before="200"/>
              <w:pStyle w:val="ImageCaption"/>
            </w:pPr>
            <w:r>
              <w:t xml:space="preserve">Figur 1: Peak Flow-diagram. Alderen er afsat ud ad x-aksen, og den forventede Peak Flow-værdi aflæses på den kurve, der svarer til legemshøjden — blå kurver for mænd, røde for kvinder.</w:t>
            </w:r>
          </w:p>
          <w:bookmarkEnd w:id="23"/>
        </w:tc>
      </w:tr>
    </w:tbl>
    <w:p>
      <w:pPr>
        <w:pStyle w:val="BodyText"/>
      </w:pPr>
      <w:r>
        <w:t xml:space="preserve">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keepNext/>
            </w:pPr>
            <w:pPr>
              <w:spacing w:before="0" w:after="0"/>
              <w:textAlignment w:val="center"/>
            </w:pPr>
            <w:r>
              <w:drawing>
                <wp:inline>
                  <wp:extent cx="152400" cy="152400"/>
                  <wp:effectExtent b="0" l="0" r="0" t="0"/>
                  <wp:docPr descr="" title="" id="25" name="Picture"/>
                  <a:graphic>
                    <a:graphicData uri="http://schemas.openxmlformats.org/drawingml/2006/picture">
                      <pic:pic>
                        <pic:nvPicPr>
                          <pic:cNvPr descr="/Applications/quarto/share/formats/docx/tip.png" id="26" name="Picture"/>
                          <pic:cNvPicPr>
                            <a:picLocks noChangeArrowheads="1" noChangeAspect="1"/>
                          </pic:cNvPicPr>
                        </pic:nvPicPr>
                        <pic:blipFill>
                          <a:blip r:embed="rId2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Compact"/>
              <w:numPr>
                <w:ilvl w:val="0"/>
                <w:numId w:val="1002"/>
              </w:numPr>
            </w:pPr>
            <w:r>
              <w:t xml:space="preserve">Læberne skal slutte helt tæt om mundstykket, og tungen må ikke sidde foran hullet. Et</w:t>
            </w:r>
            <w:r>
              <w:t xml:space="preserve"> </w:t>
            </w:r>
            <w:r>
              <w:t xml:space="preserve">“host”</w:t>
            </w:r>
            <w:r>
              <w:t xml:space="preserve"> </w:t>
            </w:r>
            <w:r>
              <w:t xml:space="preserve">ned i apparatet giver et falsk højt udslag — det skal være et rent, kraftigt pust.</w:t>
            </w:r>
          </w:p>
          <w:p>
            <w:pPr>
              <w:pStyle w:val="Compact"/>
              <w:numPr>
                <w:ilvl w:val="0"/>
                <w:numId w:val="1002"/>
              </w:numPr>
            </w:pPr>
            <w:r>
              <w:t xml:space="preserve">Hold en pause på et halvt minut mellem de tre pust, så I ikke bliver svimle.</w:t>
            </w:r>
          </w:p>
          <w:p>
            <w:pPr>
              <w:pStyle w:val="Compact"/>
              <w:numPr>
                <w:ilvl w:val="0"/>
                <w:numId w:val="1002"/>
              </w:numPr>
            </w:pPr>
            <w:r>
              <w:t xml:space="preserve">Findes jeres præcise højde ikke som kurve i diagrammet, så aflæs mellem de to nærmeste kurver.</w:t>
            </w:r>
          </w:p>
          <w:p>
            <w:pPr>
              <w:pStyle w:val="Compact"/>
              <w:numPr>
                <w:ilvl w:val="0"/>
                <w:numId w:val="1002"/>
              </w:numPr>
            </w:pPr>
            <w:r>
              <w:t xml:space="preserve">Alle i klassen skal måle på</w:t>
            </w:r>
            <w:r>
              <w:t xml:space="preserve"> </w:t>
            </w:r>
            <w:r>
              <w:rPr>
                <w:b/>
                <w:bCs/>
              </w:rPr>
              <w:t xml:space="preserve">samme</w:t>
            </w:r>
            <w:r>
              <w:t xml:space="preserve"> </w:t>
            </w:r>
            <w:r>
              <w:t xml:space="preserve">peakflow-meter — forskellige apparater kan være kalibreret lidt forskelligt.</w:t>
            </w:r>
          </w:p>
          <w:p/>
        </w:tc>
      </w:tr>
    </w:tbl>
    <w:p>
      <w:pPr>
        <w:pStyle w:val="FirstParagraph"/>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keepNext/>
            </w:pPr>
            <w:pPr>
              <w:spacing w:before="0" w:after="0"/>
              <w:textAlignment w:val="center"/>
            </w:pPr>
            <w:r>
              <w:drawing>
                <wp:inline>
                  <wp:extent cx="152400" cy="152400"/>
                  <wp:effectExtent b="0" l="0" r="0" t="0"/>
                  <wp:docPr descr="" title="" id="28" name="Picture"/>
                  <a:graphic>
                    <a:graphicData uri="http://schemas.openxmlformats.org/drawingml/2006/picture">
                      <pic:pic>
                        <pic:nvPicPr>
                          <pic:cNvPr descr="/Applications/quarto/share/formats/docx/note.png" id="29" name="Picture"/>
                          <pic:cNvPicPr>
                            <a:picLocks noChangeArrowheads="1" noChangeAspect="1"/>
                          </pic:cNvPicPr>
                        </pic:nvPicPr>
                        <pic:blipFill>
                          <a:blip r:embed="rId2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Materialer (pr. gruppe)</w:t>
            </w:r>
          </w:p>
        </w:tc>
      </w:tr>
      <w:tr>
        <w:trPr>
          <w:cantSplit/>
        </w:trPr>
        <w:tc>
          <w:tcPr>
            <w:tcMar>
              <w:top w:w="108" w:type="dxa"/>
              <w:bottom w:w="108" w:type="dxa"/>
            </w:tcMar>
          </w:tcPr>
          <w:p>
            <w:pPr>
              <w:pStyle w:val="Compact"/>
              <w:numPr>
                <w:ilvl w:val="0"/>
                <w:numId w:val="1003"/>
              </w:numPr>
            </w:pPr>
            <w:r>
              <w:t xml:space="preserve">Peakflow-meter</w:t>
            </w:r>
          </w:p>
          <w:p>
            <w:pPr>
              <w:pStyle w:val="Compact"/>
              <w:numPr>
                <w:ilvl w:val="0"/>
                <w:numId w:val="1003"/>
              </w:numPr>
            </w:pPr>
            <w:r>
              <w:t xml:space="preserve">Engangsmundstykker — ét pr. person</w:t>
            </w:r>
          </w:p>
          <w:p>
            <w:pPr>
              <w:pStyle w:val="Compact"/>
              <w:numPr>
                <w:ilvl w:val="0"/>
                <w:numId w:val="1003"/>
              </w:numPr>
            </w:pPr>
            <w:r>
              <w:t xml:space="preserve">Sprit og papir til aftørring</w:t>
            </w:r>
          </w:p>
          <w:p>
            <w:pPr>
              <w:pStyle w:val="Compact"/>
              <w:numPr>
                <w:ilvl w:val="0"/>
                <w:numId w:val="1003"/>
              </w:numPr>
            </w:pPr>
            <w:r>
              <w:t xml:space="preserve">Målebånd eller højdemåler</w:t>
            </w:r>
          </w:p>
          <w:p/>
        </w:tc>
      </w:tr>
    </w:tbl>
    <w:p>
      <w:pPr>
        <w:pStyle w:val="FirstParagraph"/>
      </w:pPr>
      <w:r>
        <w:t xml:space="preserve"> </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keepNext/>
            </w:pPr>
            <w:pPr>
              <w:spacing w:before="0" w:after="0"/>
              <w:textAlignment w:val="center"/>
            </w:pPr>
            <w:r>
              <w:drawing>
                <wp:inline>
                  <wp:extent cx="152400" cy="152400"/>
                  <wp:effectExtent b="0" l="0" r="0" t="0"/>
                  <wp:docPr descr="" title="" id="31" name="Picture"/>
                  <a:graphic>
                    <a:graphicData uri="http://schemas.openxmlformats.org/drawingml/2006/picture">
                      <pic:pic>
                        <pic:nvPicPr>
                          <pic:cNvPr descr="/Applications/quarto/share/formats/docx/important.png" id="32" name="Picture"/>
                          <pic:cNvPicPr>
                            <a:picLocks noChangeArrowheads="1" noChangeAspect="1"/>
                          </pic:cNvPicPr>
                        </pic:nvPicPr>
                        <pic:blipFill>
                          <a:blip r:embed="rId3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Sikkerhed</w:t>
            </w:r>
          </w:p>
        </w:tc>
      </w:tr>
      <w:tr>
        <w:trPr>
          <w:cantSplit/>
        </w:trPr>
        <w:tc>
          <w:tcPr>
            <w:tcMar>
              <w:top w:w="108" w:type="dxa"/>
              <w:bottom w:w="108" w:type="dxa"/>
            </w:tcMar>
          </w:tcPr>
          <w:p>
            <w:pPr>
              <w:pStyle w:val="Compact"/>
              <w:numPr>
                <w:ilvl w:val="0"/>
                <w:numId w:val="1004"/>
              </w:numPr>
            </w:pPr>
            <w:r>
              <w:t xml:space="preserve">Hvert mundstykke bruges kun af én person. Mundstykker må aldrig deles eller genbruges af andre.</w:t>
            </w:r>
          </w:p>
          <w:p>
            <w:pPr>
              <w:pStyle w:val="Compact"/>
              <w:numPr>
                <w:ilvl w:val="0"/>
                <w:numId w:val="1004"/>
              </w:numPr>
            </w:pPr>
            <w:r>
              <w:t xml:space="preserve">Tør apparatet af med sprit, inden det går videre til den næste.</w:t>
            </w:r>
          </w:p>
          <w:p>
            <w:pPr>
              <w:pStyle w:val="Compact"/>
              <w:numPr>
                <w:ilvl w:val="0"/>
                <w:numId w:val="1004"/>
              </w:numPr>
            </w:pPr>
            <w:r>
              <w:t xml:space="preserve">Det kraftige pust kan gøre jer svimle. Mål stående tæt ved en stol, og sæt jer, hvis I bliver utilpasse.</w:t>
            </w:r>
          </w:p>
          <w:p>
            <w:pPr>
              <w:pStyle w:val="Compact"/>
              <w:numPr>
                <w:ilvl w:val="0"/>
                <w:numId w:val="1004"/>
              </w:numPr>
            </w:pPr>
            <w:r>
              <w:t xml:space="preserve">Har I astma, en luftvejsinfektion eller andet, der gør det ubehageligt at puste maksimalt ud, så sig det til læreren. I kan sagtens deltage i databehandlingen uden selv at blive målt.</w:t>
            </w:r>
          </w:p>
          <w:p/>
        </w:tc>
      </w:tr>
    </w:tbl>
    <w:bookmarkEnd w:id="33"/>
    <w:bookmarkStart w:id="36" w:name="registrering-af-målinger"/>
    <w:p>
      <w:pPr>
        <w:pStyle w:val="Heading2"/>
      </w:pPr>
      <w:r>
        <w:t xml:space="preserve">Registrering af målinger</w:t>
      </w:r>
    </w:p>
    <w:p>
      <w:pPr>
        <w:pStyle w:val="FirstParagraph"/>
      </w:pPr>
      <w:r>
        <w:rPr>
          <w:b/>
          <w:bCs/>
        </w:rPr>
        <w:t xml:space="preserve">Forsøgsperson:</w:t>
      </w:r>
      <w:r>
        <w:t xml:space="preserve"> </w:t>
      </w:r>
      <w:r>
        <w:t xml:space="preserve">____________________     </w:t>
      </w:r>
      <w:r>
        <w:t xml:space="preserve"> </w:t>
      </w:r>
      <w:r>
        <w:rPr>
          <w:b/>
          <w:bCs/>
        </w:rPr>
        <w:t xml:space="preserve">Køn (K/M):</w:t>
      </w:r>
      <w:r>
        <w:t xml:space="preserve"> </w:t>
      </w:r>
      <w:r>
        <w:t xml:space="preserve">______     </w:t>
      </w:r>
      <w:r>
        <w:t xml:space="preserve"> </w:t>
      </w:r>
      <w:r>
        <w:rPr>
          <w:b/>
          <w:bCs/>
        </w:rPr>
        <w:t xml:space="preserve">Alder:</w:t>
      </w:r>
      <w:r>
        <w:t xml:space="preserve"> </w:t>
      </w:r>
      <w:r>
        <w:t xml:space="preserve">______ år     </w:t>
      </w:r>
      <w:r>
        <w:t xml:space="preserve"> </w:t>
      </w:r>
      <w:r>
        <w:rPr>
          <w:b/>
          <w:bCs/>
        </w:rPr>
        <w:t xml:space="preserve">Højde (uden sko):</w:t>
      </w:r>
      <w:r>
        <w:t xml:space="preserve"> </w:t>
      </w:r>
      <w:r>
        <w:t xml:space="preserve">______ cm</w:t>
      </w:r>
    </w:p>
    <w:tbl>
      <w:tblPr>
        <w:tblStyle w:val="Table"/>
        <w:tblW w:type="pct" w:w="5000"/>
        <w:tblLayout w:type="fixed"/>
        <w:tblLook w:firstRow="0" w:lastRow="0" w:firstColumn="0" w:lastColumn="0" w:noHBand="0" w:noVBand="0" w:val="0000"/>
      </w:tblPr>
      <w:tblGrid>
        <w:gridCol w:w="7920"/>
      </w:tblGrid>
      <w:tr>
        <w:tc>
          <w:tcPr/>
          <w:bookmarkStart w:id="34" w:name="tbl-1"/>
          <w:p>
            <w:pPr>
              <w:jc w:val="center"/>
            </w:pPr>
            <w:pPr>
              <w:jc w:val="left"/>
              <w:spacing w:before="200"/>
              <w:pStyle w:val="ImageCaption"/>
            </w:pPr>
            <w:r>
              <w:t xml:space="preserve">Tabel 1: Dine egne tre pust, den højeste værdi og den forventede værdi aflæst i</w:t>
            </w:r>
            <w:r>
              <w:t xml:space="preserve"> </w:t>
            </w:r>
            <w:hyperlink w:anchor="fig-diagram">
              <w:r>
                <w:rPr>
                  <w:rStyle w:val="Hyperlink"/>
                </w:rPr>
                <w:t xml:space="preserve">Figur 1</w:t>
              </w:r>
            </w:hyperlink>
            <w:r>
              <w:t xml:space="preserv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cantSplit/>
                <w:tblHeader w:val="on"/>
              </w:trPr>
              <w:tc>
                <w:tcPr/>
                <w:p>
                  <w:pPr>
                    <w:pStyle w:val="Compact"/>
                    <w:keepNext/>
                  </w:pPr>
                </w:p>
              </w:tc>
              <w:tc>
                <w:tcPr/>
                <w:p>
                  <w:pPr>
                    <w:pStyle w:val="Compact"/>
                    <w:keepNext/>
                    <w:jc w:val="center"/>
                    <w:jc w:val="center"/>
                  </w:pPr>
                  <w:r>
                    <w:t xml:space="preserve">Pust 1</w:t>
                  </w:r>
                </w:p>
              </w:tc>
              <w:tc>
                <w:tcPr/>
                <w:p>
                  <w:pPr>
                    <w:pStyle w:val="Compact"/>
                    <w:keepNext/>
                    <w:jc w:val="center"/>
                    <w:jc w:val="center"/>
                  </w:pPr>
                  <w:r>
                    <w:t xml:space="preserve">Pust 2</w:t>
                  </w:r>
                </w:p>
              </w:tc>
              <w:tc>
                <w:tcPr/>
                <w:p>
                  <w:pPr>
                    <w:pStyle w:val="Compact"/>
                    <w:keepNext/>
                    <w:jc w:val="center"/>
                    <w:jc w:val="center"/>
                  </w:pPr>
                  <w:r>
                    <w:t xml:space="preserve">Pust 3</w:t>
                  </w:r>
                </w:p>
              </w:tc>
              <w:tc>
                <w:tcPr/>
                <w:p>
                  <w:pPr>
                    <w:pStyle w:val="Compact"/>
                    <w:keepNext/>
                    <w:jc w:val="center"/>
                    <w:jc w:val="center"/>
                  </w:pPr>
                  <w:r>
                    <w:t xml:space="preserve">Målt (højeste)</w:t>
                  </w:r>
                </w:p>
              </w:tc>
              <w:tc>
                <w:tcPr/>
                <w:p>
                  <w:pPr>
                    <w:pStyle w:val="Compact"/>
                    <w:keepNext/>
                    <w:jc w:val="center"/>
                    <w:jc w:val="center"/>
                  </w:pPr>
                  <w:r>
                    <w:t xml:space="preserve">Forventet</w:t>
                  </w:r>
                </w:p>
              </w:tc>
            </w:tr>
            <w:tr>
              <w:trPr>
                <w:cantSplit/>
              </w:trPr>
              <w:tc>
                <w:tcPr/>
                <w:p>
                  <w:pPr>
                    <w:pStyle w:val="Compact"/>
                    <w:jc w:val="left"/>
                    <w:jc w:val="center"/>
                  </w:pPr>
                  <w:r>
                    <w:t xml:space="preserve">Peak Flow (L/min)</w:t>
                  </w: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34"/>
          <w:p/>
        </w:tc>
      </w:tr>
    </w:tbl>
    <w:p>
      <w:pPr>
        <w:pStyle w:val="BodyText"/>
      </w:pPr>
      <w:r>
        <w:t xml:space="preserve">Beregn, hvor mange procent din målte værdi afviger fra den forventede:</w:t>
      </w:r>
    </w:p>
    <w:p>
      <w:pPr>
        <w:pStyle w:val="BodyText"/>
      </w:pPr>
      <m:oMathPara>
        <m:oMathParaPr>
          <m:jc m:val="center"/>
        </m:oMathParaPr>
        <m:oMath>
          <m:r>
            <m:rPr>
              <m:nor/>
              <m:sty m:val="p"/>
            </m:rPr>
            <m:t>Afvigelse (%)</m:t>
          </m:r>
          <m:r>
            <m:rPr>
              <m:sty m:val="p"/>
            </m:rPr>
            <m:t>=</m:t>
          </m:r>
          <m:f>
            <m:fPr>
              <m:type m:val="bar"/>
            </m:fPr>
            <m:num>
              <m:r>
                <m:rPr>
                  <m:nor/>
                  <m:sty m:val="p"/>
                </m:rPr>
                <m:t>forventet</m:t>
              </m:r>
              <m:r>
                <m:rPr>
                  <m:sty m:val="p"/>
                </m:rPr>
                <m:t>−</m:t>
              </m:r>
              <m:r>
                <m:rPr>
                  <m:nor/>
                  <m:sty m:val="p"/>
                </m:rPr>
                <m:t>målt</m:t>
              </m:r>
            </m:num>
            <m:den>
              <m:r>
                <m:rPr>
                  <m:nor/>
                  <m:sty m:val="p"/>
                </m:rPr>
                <m:t>forventet</m:t>
              </m:r>
            </m:den>
          </m:f>
          <m:r>
            <m:rPr>
              <m:sty m:val="p"/>
            </m:rPr>
            <m:t>⋅</m:t>
          </m:r>
          <m:r>
            <m:t>100</m:t>
          </m:r>
        </m:oMath>
      </m:oMathPara>
    </w:p>
    <w:p>
      <w:pPr>
        <w:pStyle w:val="FirstParagraph"/>
      </w:pPr>
      <w:r>
        <w:rPr>
          <w:b/>
          <w:bCs/>
        </w:rPr>
        <w:t xml:space="preserve">Min afvigelse:</w:t>
      </w:r>
      <w:r>
        <w:t xml:space="preserve"> </w:t>
      </w:r>
      <w:r>
        <w:t xml:space="preserve">________ %</w:t>
      </w:r>
    </w:p>
    <w:p>
      <w:pPr>
        <w:pStyle w:val="BodyText"/>
      </w:pPr>
      <w:r>
        <w:t xml:space="preserve">Skriv derefter dit resultat ind i klassens skema sammen med de andres.</w:t>
      </w:r>
    </w:p>
    <w:tbl>
      <w:tblPr>
        <w:tblStyle w:val="Table"/>
        <w:tblW w:type="pct" w:w="5000"/>
        <w:tblLayout w:type="fixed"/>
        <w:tblLook w:firstRow="0" w:lastRow="0" w:firstColumn="0" w:lastColumn="0" w:noHBand="0" w:noVBand="0" w:val="0000"/>
      </w:tblPr>
      <w:tblGrid>
        <w:gridCol w:w="7920"/>
      </w:tblGrid>
      <w:tr>
        <w:tc>
          <w:tcPr/>
          <w:bookmarkStart w:id="35" w:name="tbl-2"/>
          <w:p>
            <w:pPr>
              <w:jc w:val="center"/>
            </w:pPr>
            <w:pPr>
              <w:jc w:val="left"/>
              <w:spacing w:before="200"/>
              <w:pStyle w:val="ImageCaption"/>
            </w:pPr>
            <w:r>
              <w:t xml:space="preserve">Tabel 2: Klassens resultater. K = kvinde, M = mand. Skemaet kan overføres direkte til et regneark.</w:t>
            </w:r>
          </w:p>
          <w:tbl>
            <w:tblPr>
              <w:tblStyle w:val="Table"/>
              <w:tblW w:type="auto" w:w="0"/>
              <w:tblLook w:firstRow="1" w:lastRow="0" w:firstColumn="0" w:lastColumn="0" w:noHBand="0" w:noVBand="0" w:val="0020"/>
            </w:tblPr>
            <w:tblGrid>
              <w:gridCol w:w="1584"/>
              <w:gridCol w:w="1584"/>
              <w:gridCol w:w="1584"/>
              <w:gridCol w:w="1584"/>
              <w:gridCol w:w="1584"/>
            </w:tblGrid>
            <w:tr>
              <w:trPr>
                <w:cantSplit/>
                <w:tblHeader w:val="on"/>
              </w:trPr>
              <w:tc>
                <w:tcPr/>
                <w:p>
                  <w:pPr>
                    <w:pStyle w:val="Compact"/>
                    <w:keepNext/>
                    <w:jc w:val="left"/>
                    <w:jc w:val="center"/>
                  </w:pPr>
                  <w:r>
                    <w:t xml:space="preserve">Navn</w:t>
                  </w:r>
                </w:p>
              </w:tc>
              <w:tc>
                <w:tcPr/>
                <w:p>
                  <w:pPr>
                    <w:pStyle w:val="Compact"/>
                    <w:keepNext/>
                    <w:jc w:val="center"/>
                    <w:jc w:val="center"/>
                  </w:pPr>
                  <w:r>
                    <w:t xml:space="preserve">Køn (K/M)</w:t>
                  </w:r>
                </w:p>
              </w:tc>
              <w:tc>
                <w:tcPr/>
                <w:p>
                  <w:pPr>
                    <w:pStyle w:val="Compact"/>
                    <w:keepNext/>
                    <w:jc w:val="center"/>
                    <w:jc w:val="center"/>
                  </w:pPr>
                  <w:r>
                    <w:t xml:space="preserve">Alder (år)</w:t>
                  </w:r>
                </w:p>
              </w:tc>
              <w:tc>
                <w:tcPr/>
                <w:p>
                  <w:pPr>
                    <w:pStyle w:val="Compact"/>
                    <w:keepNext/>
                    <w:jc w:val="center"/>
                    <w:jc w:val="center"/>
                  </w:pPr>
                  <w:r>
                    <w:t xml:space="preserve">Højde (cm)</w:t>
                  </w:r>
                </w:p>
              </w:tc>
              <w:tc>
                <w:tcPr/>
                <w:p>
                  <w:pPr>
                    <w:pStyle w:val="Compact"/>
                    <w:keepNext/>
                    <w:jc w:val="center"/>
                    <w:jc w:val="center"/>
                  </w:pPr>
                  <w:r>
                    <w:t xml:space="preserve">Peak Flow (L/min)</w:t>
                  </w: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pPr>
                </w:p>
              </w:tc>
              <w:tc>
                <w:tcPr/>
                <w:p>
                  <w:pPr>
                    <w:pStyle w:val="Compact"/>
                  </w:pPr>
                </w:p>
              </w:tc>
              <w:tc>
                <w:tcPr/>
                <w:p>
                  <w:pPr>
                    <w:pStyle w:val="Compact"/>
                  </w:pPr>
                </w:p>
              </w:tc>
              <w:tc>
                <w:tcPr/>
                <w:p>
                  <w:pPr>
                    <w:pStyle w:val="Compact"/>
                  </w:pPr>
                </w:p>
              </w:tc>
              <w:tc>
                <w:tcPr/>
                <w:p>
                  <w:pPr>
                    <w:pStyle w:val="Compact"/>
                  </w:pPr>
                </w:p>
              </w:tc>
            </w:tr>
          </w:tbl>
          <w:bookmarkEnd w:id="35"/>
          <w:p/>
        </w:tc>
      </w:tr>
    </w:tbl>
    <w:bookmarkEnd w:id="36"/>
    <w:bookmarkStart w:id="37" w:name="databehandling"/>
    <w:p>
      <w:pPr>
        <w:pStyle w:val="Heading2"/>
      </w:pPr>
      <w:r>
        <w:t xml:space="preserve">Databehandling</w:t>
      </w:r>
    </w:p>
    <w:p>
      <w:pPr>
        <w:pStyle w:val="Compact"/>
        <w:numPr>
          <w:ilvl w:val="0"/>
          <w:numId w:val="1005"/>
        </w:numPr>
      </w:pPr>
      <w:r>
        <w:t xml:space="preserve">Beregn klassens gennemsnitlige højde og gennemsnitlige Peak Flow for henholdsvis kvinder og mænd. I et regneark kan I sortere data efter køn og bruge funktionen</w:t>
      </w:r>
      <w:r>
        <w:t xml:space="preserve"> </w:t>
      </w:r>
      <w:r>
        <w:rPr>
          <w:rStyle w:val="VerbatimChar"/>
        </w:rPr>
        <w:t xml:space="preserve">=MIDDEL</w:t>
      </w:r>
      <w:r>
        <w:t xml:space="preserve">.</w:t>
      </w:r>
    </w:p>
    <w:p>
      <w:pPr>
        <w:pStyle w:val="Compact"/>
        <w:numPr>
          <w:ilvl w:val="0"/>
          <w:numId w:val="1005"/>
        </w:numPr>
      </w:pPr>
      <w:r>
        <w:t xml:space="preserve">Aflæs i</w:t>
      </w:r>
      <w:r>
        <w:t xml:space="preserve"> </w:t>
      </w:r>
      <w:hyperlink w:anchor="fig-diagram">
        <w:r>
          <w:rPr>
            <w:rStyle w:val="Hyperlink"/>
          </w:rPr>
          <w:t xml:space="preserve">Figur 1</w:t>
        </w:r>
      </w:hyperlink>
      <w:r>
        <w:t xml:space="preserve">, hvad der er forventet for de to gennemsnitshøjder, og sammenlign med klassens gennemsnitsværdier.</w:t>
      </w:r>
    </w:p>
    <w:p>
      <w:pPr>
        <w:pStyle w:val="Compact"/>
        <w:numPr>
          <w:ilvl w:val="0"/>
          <w:numId w:val="1005"/>
        </w:numPr>
      </w:pPr>
      <w:r>
        <w:t xml:space="preserve">Beregn forskellen i Peak Flow mellem klassens mænd og kvinder i procent:</w:t>
      </w:r>
    </w:p>
    <w:p>
      <w:pPr>
        <w:pStyle w:val="FirstParagraph"/>
      </w:pPr>
      <m:oMathPara>
        <m:oMathParaPr>
          <m:jc m:val="center"/>
        </m:oMathParaPr>
        <m:oMath>
          <m:r>
            <m:rPr>
              <m:nor/>
              <m:sty m:val="p"/>
            </m:rPr>
            <m:t>Forskel (%)</m:t>
          </m:r>
          <m:r>
            <m:rPr>
              <m:sty m:val="p"/>
            </m:rPr>
            <m:t>=</m:t>
          </m:r>
          <m:f>
            <m:fPr>
              <m:type m:val="bar"/>
            </m:fPr>
            <m:num>
              <m:r>
                <m:rPr>
                  <m:nor/>
                  <m:sty m:val="p"/>
                </m:rPr>
                <m:t>Peak Flow for mænd</m:t>
              </m:r>
              <m:r>
                <m:rPr>
                  <m:sty m:val="p"/>
                </m:rPr>
                <m:t>−</m:t>
              </m:r>
              <m:r>
                <m:rPr>
                  <m:nor/>
                  <m:sty m:val="p"/>
                </m:rPr>
                <m:t>Peak Flow for kvinder</m:t>
              </m:r>
            </m:num>
            <m:den>
              <m:r>
                <m:rPr>
                  <m:nor/>
                  <m:sty m:val="p"/>
                </m:rPr>
                <m:t>Peak Flow for mænd</m:t>
              </m:r>
            </m:den>
          </m:f>
          <m:r>
            <m:rPr>
              <m:sty m:val="p"/>
            </m:rPr>
            <m:t>⋅</m:t>
          </m:r>
          <m:r>
            <m:t>100</m:t>
          </m:r>
        </m:oMath>
      </m:oMathPara>
    </w:p>
    <w:bookmarkEnd w:id="37"/>
    <w:sectPr>
      <w:headerReference r:id="rId7" w:type="default"/>
      <w:footerReference r:id="rId8" w:type="default"/>
      <w:pgSz w:h="16838" w:orient="portrait" w:w="11906"/>
      <w:pgMar w:bottom="1224" w:footer="500" w:gutter="0" w:header="500" w:left="1152" w:right="1152" w:top="1224"/>
      <w:pgNumType/>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http://schemas.openxmlformats.org/wordprocessingml/2006/main">
  <w:p>
    <w:pPr>
      <w:pBdr>
        <w:top w:val="single" w:color="A9BBA1" w:sz="4" w:space="6"/>
      </w:pBdr>
      <w:tabs>
        <w:tab w:val="right" w:pos="9026"/>
      </w:tabs>
    </w:pPr>
    <w:r>
      <w:rPr>
        <w:rFonts w:ascii="Calibri" w:cs="Calibri" w:eastAsia="Calibri" w:hAnsi="Calibri"/>
        <w:i/>
        <w:iCs/>
        <w:color w:val="6B7A66"/>
        <w:sz w:val="16"/>
        <w:szCs w:val="16"/>
      </w:rPr>
      <w:t xml:space="preserve">Øvelsesvejledning</w:t>
    </w:r>
    <w:r>
      <w:rPr>
        <w:rFonts w:ascii="Calibri" w:cs="Calibri" w:eastAsia="Calibri" w:hAnsi="Calibri"/>
      </w:rPr>
      <w:t xml:space="preserve">	</w:t>
    </w:r>
    <w:r>
      <w:rPr>
        <w:rFonts w:ascii="Calibri" w:cs="Calibri" w:eastAsia="Calibri" w:hAnsi="Calibri"/>
        <w:color w:val="6B7A66"/>
        <w:sz w:val="16"/>
        <w:szCs w:val="16"/>
      </w:rPr>
      <w:t xml:space="preserve">Side </w:t>
    </w:r>
    <w:r>
      <w:rPr>
        <w:rFonts w:ascii="Calibri" w:cs="Calibri" w:eastAsia="Calibri" w:hAnsi="Calibri"/>
        <w:color w:val="6B7A66"/>
        <w:sz w:val="16"/>
        <w:szCs w:val="16"/>
      </w:rPr>
      <w:fldChar w:fldCharType="begin"/>
      <w:instrText xml:space="preserve">PAGE</w:instrText>
      <w:fldChar w:fldCharType="separate"/>
      <w:fldChar w:fldCharType="end"/>
    </w:r>
    <w:r>
      <w:rPr>
        <w:rFonts w:ascii="Calibri" w:cs="Calibri" w:eastAsia="Calibri" w:hAnsi="Calibri"/>
        <w:color w:val="6B7A66"/>
        <w:sz w:val="16"/>
        <w:szCs w:val="16"/>
      </w:rPr>
      <w:t xml:space="preserve"> af </w:t>
    </w:r>
    <w:r>
      <w:rPr>
        <w:rFonts w:ascii="Calibri" w:cs="Calibri" w:eastAsia="Calibri" w:hAnsi="Calibri"/>
        <w:color w:val="6B7A66"/>
        <w:sz w:val="16"/>
        <w:szCs w:val="16"/>
      </w:rPr>
      <w:fldChar w:fldCharType="begin"/>
      <w:instrText xml:space="preserve">NUMPAGES</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pPr>
      <w:pBdr>
        <w:bottom w:val="single" w:color="A9BBA1" w:sz="4" w:space="6"/>
      </w:pBdr>
      <w:tabs>
        <w:tab w:val="right" w:pos="9026"/>
      </w:tabs>
      <w:spacing w:after="0"/>
    </w:pPr>
    <w:r>
      <w:rPr>
        <w:rFonts w:ascii="Calibri" w:cs="Calibri" w:eastAsia="Calibri" w:hAnsi="Calibri"/>
        <w:b/>
        <w:bCs/>
        <w:color w:val="6B7A66"/>
        <w:spacing w:val="18"/>
        <w:sz w:val="16"/>
        <w:szCs w:val="16"/>
      </w:rPr>
      <w:t xml:space="preserve">BIOLOGI</w:t>
    </w:r>
    <w:r>
      <w:rPr>
        <w:rFonts w:ascii="Calibri" w:cs="Calibri" w:eastAsia="Calibri" w:hAnsi="Calibri"/>
      </w:rPr>
      <w:t xml:space="preserve">	</w:t>
    </w:r>
    <w:r>
      <w:rPr>
        <w:rFonts w:ascii="Calibri" w:cs="Calibri" w:eastAsia="Calibri" w:hAnsi="Calibri"/>
        <w:color w:val="6B7A66"/>
        <w:spacing w:val="10"/>
        <w:sz w:val="16"/>
        <w:szCs w:val="16"/>
      </w:rPr>
      <w:t xml:space="preserve"/>
    </w:r>
  </w:p>
</w:hdr>
</file>

<file path=word/numbering.xml><?xml version="1.0" encoding="utf-8"?>
<w:numbering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15:restartNumberingAfterBreak="0" w:abstractNumId="1">
    <w:multiLevelType w:val="hybridMultilevel"/>
    <w:lvl w15:tentative="1" w:ilvl="0">
      <w:start w:val="1"/>
      <w:numFmt w:val="bullet"/>
      <w:lvlText w:val="●"/>
      <w:lvlJc w:val="left"/>
      <w:pPr>
        <w:ind w:hanging="360" w:left="720"/>
      </w:pPr>
    </w:lvl>
    <w:lvl w15:tentative="1" w:ilvl="1">
      <w:start w:val="1"/>
      <w:numFmt w:val="bullet"/>
      <w:lvlText w:val="○"/>
      <w:lvlJc w:val="left"/>
      <w:pPr>
        <w:ind w:hanging="360" w:left="1440"/>
      </w:pPr>
    </w:lvl>
    <w:lvl w15:tentative="1" w:ilvl="2">
      <w:start w:val="1"/>
      <w:numFmt w:val="bullet"/>
      <w:lvlText w:val="■"/>
      <w:lvlJc w:val="left"/>
      <w:pPr>
        <w:ind w:hanging="360" w:left="2160"/>
      </w:pPr>
    </w:lvl>
    <w:lvl w15:tentative="1" w:ilvl="3">
      <w:start w:val="1"/>
      <w:numFmt w:val="bullet"/>
      <w:lvlText w:val="●"/>
      <w:lvlJc w:val="left"/>
      <w:pPr>
        <w:ind w:hanging="360" w:left="2880"/>
      </w:pPr>
    </w:lvl>
    <w:lvl w15:tentative="1" w:ilvl="4">
      <w:start w:val="1"/>
      <w:numFmt w:val="bullet"/>
      <w:lvlText w:val="○"/>
      <w:lvlJc w:val="left"/>
      <w:pPr>
        <w:ind w:hanging="360" w:left="3600"/>
      </w:pPr>
    </w:lvl>
    <w:lvl w15:tentative="1" w:ilvl="5">
      <w:start w:val="1"/>
      <w:numFmt w:val="bullet"/>
      <w:lvlText w:val="■"/>
      <w:lvlJc w:val="left"/>
      <w:pPr>
        <w:ind w:hanging="360" w:left="4320"/>
      </w:pPr>
    </w:lvl>
    <w:lvl w15:tentative="1" w:ilvl="6">
      <w:start w:val="1"/>
      <w:numFmt w:val="bullet"/>
      <w:lvlText w:val="●"/>
      <w:lvlJc w:val="left"/>
      <w:pPr>
        <w:ind w:hanging="360" w:left="5040"/>
      </w:pPr>
    </w:lvl>
    <w:lvl w15:tentative="1" w:ilvl="7">
      <w:start w:val="1"/>
      <w:numFmt w:val="bullet"/>
      <w:lvlText w:val="●"/>
      <w:lvlJc w:val="left"/>
      <w:pPr>
        <w:ind w:hanging="360" w:left="5760"/>
      </w:pPr>
    </w:lvl>
    <w:lvl w15:tentative="1" w:ilvl="8">
      <w:start w:val="1"/>
      <w:numFmt w:val="bullet"/>
      <w:lvlText w:val="●"/>
      <w:lvlJc w:val="left"/>
      <w:pPr>
        <w:ind w:hanging="360" w:left="6480"/>
      </w:pPr>
    </w:lvl>
  </w:abstractNum>
  <w:abstractNum w15:restartNumberingAfterBreak="0" w:abstractNumId="2">
    <w:multiLevelType w:val="hybridMultilevel"/>
    <w:lvl w15:tentative="1" w:ilvl="0">
      <w:start w:val="1"/>
      <w:numFmt w:val="decimal"/>
      <w:lvlText w:val="%1."/>
      <w:lvlJc w:val="start"/>
      <w:pPr>
        <w:ind w:hanging="300" w:left="420"/>
      </w:pPr>
    </w:lvl>
  </w:abstractNum>
  <w:abstractNum w15:restartNumberingAfterBreak="0" w:abstractNumId="3">
    <w:multiLevelType w:val="hybridMultilevel"/>
    <w:lvl w15:tentative="1" w:ilvl="0">
      <w:start w:val="1"/>
      <w:numFmt w:val="bullet"/>
      <w:lvlText w:val="–"/>
      <w:lvlJc w:val="start"/>
      <w:pPr>
        <w:ind w:hanging="200" w:left="3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evenAndOddHeaders w:val="false"/>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332B"/>
        <w:sz w:val="22"/>
        <w:szCs w:val="22"/>
        <w:lang w:val="da"/>
      </w:rPr>
    </w:rPrDefault>
    <w:pPrDefault>
      <w:pPr>
        <w:spacing w:after="140" w:line="276" w:lineRule="auto"/>
      </w:pPr>
    </w:pPrDefault>
  </w:docDefaults>
  <w:style w:default="1" w:styleId="Normal" w:type="paragraph">
    <w:name w:val="Normal"/>
    <w:qFormat/>
  </w:style>
  <w:style w:styleId="Title" w:type="paragraph">
    <w:name w:val="Title"/>
    <w:basedOn w:val="Normal"/>
    <w:next w:val="Normal"/>
    <w:qFormat/>
    <w:pPr>
      <w:spacing w:after="80" w:before="40"/>
    </w:pPr>
    <w:rPr>
      <w:b/>
      <w:bCs/>
      <w:color w:val="2C4527"/>
      <w:sz w:val="52"/>
      <w:szCs w:val="52"/>
    </w:rPr>
  </w:style>
  <w:style w:styleId="Subtitle" w:type="paragraph">
    <w:name w:val="Subtitle"/>
    <w:basedOn w:val="Normal"/>
    <w:next w:val="Normal"/>
    <w:qFormat/>
    <w:pPr>
      <w:spacing w:after="220" w:before="0"/>
    </w:pPr>
    <w:rPr>
      <w:color w:val="6B7A66"/>
      <w:sz w:val="20"/>
    </w:rPr>
  </w:style>
  <w:style w:styleId="Heading1" w:type="paragraph">
    <w:name w:val="Heading 1"/>
    <w:basedOn w:val="Normal"/>
    <w:next w:val="Normal"/>
    <w:qFormat/>
    <w:pPr>
      <w:pBdr>
        <w:left w:color="3F5F3A" w:space="8" w:sz="18" w:val="single"/>
      </w:pBdr>
      <w:spacing w:after="140" w:before="320"/>
      <w:ind w:left="140"/>
    </w:pPr>
    <w:rPr>
      <w:b/>
      <w:bCs/>
      <w:color w:val="2C4527"/>
      <w:sz w:val="32"/>
      <w:szCs w:val="32"/>
    </w:rPr>
  </w:style>
  <w:style w:styleId="Heading2" w:type="paragraph">
    <w:name w:val="Heading 2"/>
    <w:basedOn w:val="Normal"/>
    <w:next w:val="Normal"/>
    <w:qFormat/>
    <w:pPr>
      <w:pBdr>
        <w:left w:color="3F5F3A" w:space="8" w:sz="18" w:val="single"/>
      </w:pBdr>
      <w:spacing w:after="120" w:before="300"/>
      <w:ind w:left="140"/>
    </w:pPr>
    <w:rPr>
      <w:b/>
      <w:bCs/>
      <w:color w:val="2C4527"/>
      <w:sz w:val="27"/>
      <w:szCs w:val="27"/>
    </w:rPr>
  </w:style>
  <w:style w:styleId="Heading3" w:type="paragraph">
    <w:name w:val="Heading 3"/>
    <w:basedOn w:val="Normal"/>
    <w:next w:val="Normal"/>
    <w:qFormat/>
    <w:pPr>
      <w:spacing w:after="100" w:before="200"/>
    </w:pPr>
    <w:rPr>
      <w:b/>
      <w:bCs/>
      <w:color w:val="3F5F3A"/>
      <w:sz w:val="24"/>
      <w:szCs w:val="24"/>
    </w:rPr>
  </w:style>
  <w:style w:styleId="Heading4" w:type="paragraph">
    <w:name w:val="Heading 4"/>
    <w:basedOn w:val="Normal"/>
    <w:next w:val="Normal"/>
    <w:qFormat/>
    <w:rPr>
      <w:i/>
      <w:iCs/>
      <w:color w:val="3F5F3A"/>
    </w:rPr>
  </w:style>
  <w:style w:styleId="Heading5" w:type="paragraph">
    <w:name w:val="Heading 5"/>
    <w:basedOn w:val="Normal"/>
    <w:next w:val="Normal"/>
    <w:qFormat/>
    <w:rPr>
      <w:color w:val="3F5F3A"/>
    </w:rPr>
  </w:style>
  <w:style w:styleId="Heading6" w:type="paragraph">
    <w:name w:val="Heading 6"/>
    <w:basedOn w:val="Normal"/>
    <w:next w:val="Normal"/>
    <w:qFormat/>
    <w:rPr>
      <w:color w:val="6B7A66"/>
    </w:rPr>
  </w:style>
  <w:style w:styleId="Strong" w:type="paragraph">
    <w:name w:val="Strong"/>
    <w:basedOn w:val="Normal"/>
    <w:next w:val="Normal"/>
    <w:qFormat/>
    <w:rPr>
      <w:b/>
      <w:bCs/>
    </w:rPr>
  </w:style>
  <w:style w:styleId="ListParagraph" w:type="paragraph">
    <w:name w:val="List Paragraph"/>
    <w:basedOn w:val="Normal"/>
    <w:qFormat/>
  </w:style>
  <w:style w:styleId="BodyText" w:type="paragraph">
    <w:name w:val="Body Text"/>
    <w:basedOn w:val="Normal"/>
    <w:next w:val="Normal"/>
    <w:qFormat/>
  </w:style>
  <w:style w:styleId="FirstParagraph" w:type="paragraph">
    <w:name w:val="First Paragraph"/>
    <w:basedOn w:val="Normal"/>
    <w:next w:val="Normal"/>
    <w:qFormat/>
    <w:pPr>
      <w:spacing w:before="0"/>
    </w:pPr>
  </w:style>
  <w:style w:styleId="Compact" w:type="paragraph">
    <w:name w:val="Compact"/>
    <w:basedOn w:val="ListParagraph"/>
    <w:next w:val="Compact"/>
    <w:qFormat/>
    <w:pPr>
      <w:spacing w:after="90" w:line="276" w:lineRule="auto"/>
    </w:pPr>
  </w:style>
  <w:style w:styleId="CaptionedFigure" w:type="paragraph">
    <w:name w:val="Captioned Figure"/>
    <w:basedOn w:val="Normal"/>
    <w:next w:val="Normal"/>
    <w:qFormat/>
    <w:pPr>
      <w:spacing w:after="0" w:before="120"/>
      <w:jc w:val="center"/>
    </w:pPr>
  </w:style>
  <w:style w:styleId="Caption" w:type="paragraph">
    <w:name w:val="Caption"/>
    <w:basedOn w:val="Normal"/>
    <w:next w:val="Normal"/>
    <w:qFormat/>
    <w:pPr>
      <w:spacing w:after="220" w:before="100"/>
      <w:jc w:val="center"/>
    </w:pPr>
    <w:rPr>
      <w:i/>
      <w:iCs/>
      <w:color w:val="6B7A66"/>
      <w:sz w:val="19"/>
      <w:szCs w:val="19"/>
    </w:rPr>
  </w:style>
  <w:style w:styleId="ImageCaption" w:type="paragraph">
    <w:name w:val="Image Caption"/>
    <w:basedOn w:val="Caption"/>
    <w:next w:val="Normal"/>
    <w:qFormat/>
  </w:style>
  <w:style w:styleId="Table" w:type="table">
    <w:name w:val="Table"/>
    <w:basedOn w:val="TableNormal"/>
    <w:uiPriority w:val="99"/>
    <w:pPr>
      <w:spacing w:after="0" w:line="256" w:lineRule="auto"/>
    </w:pPr>
    <w:tblPr>
      <w:tblBorders>
        <w:top w:color="8FA085" w:space="0" w:sz="4" w:val="single"/>
        <w:left w:color="8FA085" w:space="0" w:sz="4" w:val="single"/>
        <w:bottom w:color="8FA085" w:space="0" w:sz="4" w:val="single"/>
        <w:right w:color="8FA085" w:space="0" w:sz="4" w:val="single"/>
        <w:insideH w:color="C7D0C0" w:space="0" w:sz="4" w:val="single"/>
        <w:insideV w:color="C7D0C0" w:space="0" w:sz="4" w:val="single"/>
      </w:tblBorders>
    </w:tblPr>
    <w:tcPr>
      <w:tcMar>
        <w:top w:type="dxa" w:w="90"/>
        <w:left w:type="dxa" w:w="120"/>
        <w:bottom w:type="dxa" w:w="90"/>
        <w:right w:type="dxa" w:w="120"/>
      </w:tcMar>
    </w:tcPr>
  </w:style>
  <w:style w:default="1" w:styleId="TableNormal" w:type="table">
    <w:name w:val="Normal Table"/>
    <w:uiPriority w:val="99"/>
    <w:semiHidden/>
    <w:unhideWhenUsed/>
    <w:tblPr>
      <w:tblCellMar>
        <w:top w:type="dxa" w:w="0"/>
        <w:left w:type="dxa" w:w="108"/>
        <w:bottom w:type="dxa" w:w="0"/>
        <w:right w:type="dxa" w:w="108"/>
      </w:tblCellMar>
    </w:tblPr>
  </w:style>
  <w:style w:styleId="FirstRow" w:type="table">
    <w:name w:val="First Row"/>
    <w:basedOn w:val="Table"/>
    <w:uiPriority w:val="99"/>
  </w:style>
  <w:style w:styleId="Hyperlink" w:type="character">
    <w:name w:val="Hyperlink"/>
    <w:basedOn w:val="DefaultParagraphFont"/>
    <w:uiPriority w:val="99"/>
    <w:unhideWhenUsed/>
    <w:rPr>
      <w:color w:val="1F5F8B"/>
      <w:u w:val="single"/>
    </w:rPr>
  </w:style>
  <w:style w:styleId="FootnoteReference" w:type="character">
    <w:name w:val="footnote reference"/>
    <w:basedOn w:val="DefaultParagraphFont"/>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styleId="FootnoteTextChar" w:type="character">
    <w:name w:val="Footnote Text Char"/>
    <w:basedOn w:val="DefaultParagraphFont"/>
    <w:link w:val="FootnoteText"/>
    <w:uiPriority w:val="99"/>
    <w:semiHidden/>
    <w:unhideWhenUsed/>
    <w:rPr>
      <w:sz w:val="20"/>
      <w:szCs w:val="20"/>
    </w:rPr>
  </w:style>
  <w:style w:styleId="EndnoteReference" w:type="character">
    <w:name w:val="endnote reference"/>
    <w:basedOn w:val="DefaultParagraphFont"/>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styleId="EndnoteTextChar" w:type="character">
    <w:name w:val="Endnote Text Char"/>
    <w:basedOn w:val="DefaultParagraphFont"/>
    <w:link w:val="EndnoteText"/>
    <w:uiPriority w:val="99"/>
    <w:semiHidden/>
    <w:unhideWhenUsed/>
    <w:rPr>
      <w:sz w:val="20"/>
      <w:szCs w:val="20"/>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Type="http://schemas.openxmlformats.org/officeDocument/2006/relationships/numbering" Id="rId18" Target="numbering.xml" /><Relationship Type="http://schemas.openxmlformats.org/officeDocument/2006/relationships/styles" Id="rId17" Target="styles.xml" /><Relationship Type="http://schemas.openxmlformats.org/officeDocument/2006/relationships/settings" Id="rId16" Target="settings.xml" /><Relationship Type="http://schemas.openxmlformats.org/officeDocument/2006/relationships/webSettings" Id="rId15" Target="webSettings.xml" /><Relationship Type="http://schemas.openxmlformats.org/officeDocument/2006/relationships/fontTable" Id="rId14" Target="fontTable.xml" /><Relationship Type="http://schemas.openxmlformats.org/officeDocument/2006/relationships/theme" Id="rId13" Target="theme/theme1.xml" /><Relationship Type="http://schemas.openxmlformats.org/officeDocument/2006/relationships/footnotes" Id="rId12" Target="footnotes.xml" /><Relationship Type="http://schemas.openxmlformats.org/officeDocument/2006/relationships/comments" Id="rId11" Target="comments.xml" /><Relationship Id="rId7" Target="header1.xml" Type="http://schemas.openxmlformats.org/officeDocument/2006/relationships/header" /><Relationship Id="rId8" Target="footer1.xml" Type="http://schemas.openxmlformats.org/officeDocument/2006/relationships/footer" /><Relationship Id="rId9" Target="media/ff4355ab3d7b3fb047ac1bb9b81f09919282c810.png" Type="http://schemas.openxmlformats.org/officeDocument/2006/relationships/image" /><Relationship Id="rId10" Target="media/22118e1eede36edf4136c10d3e20d9ff95fafa9e.png" Type="http://schemas.openxmlformats.org/officeDocument/2006/relationships/image" /><Relationship Type="http://schemas.openxmlformats.org/officeDocument/2006/relationships/image" Id="rId30" Target="media/rId30.png" /><Relationship Type="http://schemas.openxmlformats.org/officeDocument/2006/relationships/image" Id="rId27" Target="media/rId27.png" /><Relationship Type="http://schemas.openxmlformats.org/officeDocument/2006/relationships/image" Id="rId24" Target="media/rId24.png" /><Relationship Type="http://schemas.openxmlformats.org/officeDocument/2006/relationships/image" Id="rId20" Target="media/rId20.png" /></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
</file>

<file path=word/_rels/header1.xml.rels><?xml version="1.0" encoding="UTF-8"?><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Peak Flow-måling</dc:title>
  <dc:creator/>
  <dc:language>da</dc:language>
  <cp:keywords/>
  <dcterms:created xsi:type="dcterms:W3CDTF">2026-09-13T09:34:46Z</dcterms:created>
  <dcterms:modified xsi:type="dcterms:W3CDTF">2026-09-13T09:34:46Z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doc-type">
    <vt:lpwstr>Øvelsesvejledning</vt:lpwstr>
  </property>
  <property fmtid="{D5CDD505-2E9C-101B-9397-08002B2CF9AE}" pid="4" name="fag">
    <vt:lpwstr>Biologi</vt:lpwstr>
  </property>
  <property fmtid="{D5CDD505-2E9C-101B-9397-08002B2CF9AE}" pid="5" name="header-includes">
    <vt:lpwstr/>
  </property>
  <property fmtid="{D5CDD505-2E9C-101B-9397-08002B2CF9AE}" pid="6" name="hold">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Undersøgelse af ventilationsevnen</vt:lpwstr>
  </property>
  <property fmtid="{D5CDD505-2E9C-101B-9397-08002B2CF9AE}" pid="11" name="toc-title">
    <vt:lpwstr>Indholdsfortegnelse</vt:lpwstr>
  </property>
</Properties>
</file>