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29.png" ContentType="image/png"/>
  <Override PartName="/word/media/rId26.png" ContentType="image/png"/>
  <Override PartName="/word/media/rId23.png" ContentType="image/png"/>
  <Override PartName="/word/media/ff4355ab3d7b3fb047ac1bb9b81f09919282c810.png" ContentType="image/png"/>
  <Override PartName="/word/media/22118e1eede36edf4136c10d3e20d9ff95fafa9e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a="http://schemas.openxmlformats.org/drawingml/2006/main" xmlns:pic="http://schemas.openxmlformats.org/drawingml/2006/picture" xmlns:r="http://schemas.openxmlformats.org/officeDocument/2006/relationships" xmlns:w="http://schemas.openxmlformats.org/wordprocessingml/2006/main" xmlns:wp="http://schemas.openxmlformats.org/drawingml/2006/wordprocessingDrawing">
  <w:body>
    <w:p>
      <w:pPr>
        <w:pStyle w:val="Title"/>
      </w:pPr>
      <w:r>
        <w:t xml:space="preserve">Gærforsøg — bobleforsøg</w:t>
      </w:r>
    </w:p>
    <w:p>
      <w:pPr>
        <w:pStyle w:val="Subtitle"/>
      </w:pPr>
      <w:r>
        <w:t xml:space="preserve">Laboratorieøvelse</w:t>
      </w:r>
    </w:p>
    <w:p>
      <w:pPr>
        <w:pStyle w:val="FirstParagraph"/>
      </w:pPr>
      <w:r>
        <w:rPr>
          <w:b/>
          <w:bCs/>
        </w:rPr>
        <w:t xml:space="preserve">Dato:</w:t>
      </w:r>
      <w:r>
        <w:t xml:space="preserve"> </w:t>
      </w:r>
      <w:r>
        <w:t xml:space="preserve">____________________     </w:t>
      </w:r>
      <w:r>
        <w:t xml:space="preserve"> </w:t>
      </w:r>
      <w:r>
        <w:rPr>
          <w:b/>
          <w:bCs/>
        </w:rPr>
        <w:t xml:space="preserve">Gruppe / navne:</w:t>
      </w:r>
      <w:r>
        <w:t xml:space="preserve"> </w:t>
      </w:r>
      <w:r>
        <w:t xml:space="preserve">____________________________________________</w:t>
      </w:r>
    </w:p>
    <w:bookmarkStart w:id="19" w:name="om-øvelsen"/>
    <w:p>
      <w:pPr>
        <w:pStyle w:val="Heading2"/>
      </w:pPr>
      <w:r>
        <w:t xml:space="preserve">Om øvelsen</w:t>
      </w:r>
    </w:p>
    <w:p>
      <w:pPr>
        <w:pStyle w:val="FirstParagraph"/>
      </w:pPr>
      <w:r>
        <w:t xml:space="preserve">I dag skal I undersøge, hvordan temperatur påvirker gærens gæring. Gærceller omsætter sukker til alkohol og kuldioxid (CO₂), når der ikke er ilt til stede — det er denne gæring, der får brøddej til at hæve. I skal tælle, hvor mange CO₂-bobler der siver ud af gærrørene pr. minut ved forskellige betingelser, og bruge indikatoren bromthymolblåt (BTB) til at følge, hvordan CO₂ gør vandet i gærrøret surt.</w:t>
      </w:r>
    </w:p>
    <w:bookmarkEnd w:id="19"/>
    <w:bookmarkStart w:id="33" w:name="fremgangsmåde"/>
    <w:p>
      <w:pPr>
        <w:pStyle w:val="Heading2"/>
      </w:pPr>
      <w:r>
        <w:t xml:space="preserve">Fremgangsmåde</w:t>
      </w:r>
    </w:p>
    <w:bookmarkStart w:id="20" w:name="a.-klargøring-af-gærrør"/>
    <w:p>
      <w:pPr>
        <w:pStyle w:val="Heading3"/>
      </w:pPr>
      <w:r>
        <w:t xml:space="preserve">A. Klargøring af gærrør</w:t>
      </w:r>
    </w:p>
    <w:p>
      <w:pPr>
        <w:pStyle w:val="Compact"/>
        <w:numPr>
          <w:ilvl w:val="0"/>
          <w:numId w:val="1001"/>
        </w:numPr>
      </w:pPr>
      <w:r>
        <w:t xml:space="preserve">Fyld de fire gærrør med vand tilsat et par dråber bromthymolblåt (BTB). Notér farven i skemaet.</w:t>
      </w:r>
    </w:p>
    <w:bookmarkEnd w:id="20"/>
    <w:bookmarkStart w:id="21" w:name="b.-fire-kolber-med-gær-og-sukker"/>
    <w:p>
      <w:pPr>
        <w:pStyle w:val="Heading3"/>
      </w:pPr>
      <w:r>
        <w:t xml:space="preserve">B. Fire kolber med gær og sukker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Kolbe 1:</w:t>
      </w:r>
      <w:r>
        <w:t xml:space="preserve"> </w:t>
      </w:r>
      <w:r>
        <w:t xml:space="preserve">Kom 20 g gær og 25 g sukker i en konisk kolbe, og rør rundt med en spatel — uden at tilsætte vand endnu. Notér jeres iagttagelser.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Kolbe 2-4:</w:t>
      </w:r>
      <w:r>
        <w:t xml:space="preserve"> </w:t>
      </w:r>
      <w:r>
        <w:t xml:space="preserve">Opløs 25 g sukker i 100 mL vand i hver af de tre andre koniske kolber. Brug varmepladerne til at give vandet tre forskellige temperaturer, fx stuetemperatur (ca. 20 °C), håndvarmt (ca. 37 °C) og varmt (ca. 60 °C). Mål og notér temperaturerne.</w:t>
      </w:r>
    </w:p>
    <w:p>
      <w:pPr>
        <w:pStyle w:val="Compact"/>
        <w:numPr>
          <w:ilvl w:val="0"/>
          <w:numId w:val="1002"/>
        </w:numPr>
      </w:pPr>
      <w:r>
        <w:t xml:space="preserve">Tilsæt 20 g gær til hver af de tre sukkeropløsninger, og rør rundt.</w:t>
      </w:r>
    </w:p>
    <w:p>
      <w:pPr>
        <w:pStyle w:val="Compact"/>
        <w:numPr>
          <w:ilvl w:val="0"/>
          <w:numId w:val="1002"/>
        </w:numPr>
      </w:pPr>
      <w:r>
        <w:t xml:space="preserve">Tilsæt nu 100 mL vand ved stuetemperatur til kolbe 1.</w:t>
      </w:r>
    </w:p>
    <w:p>
      <w:pPr>
        <w:pStyle w:val="Compact"/>
        <w:numPr>
          <w:ilvl w:val="0"/>
          <w:numId w:val="1002"/>
        </w:numPr>
      </w:pPr>
      <w:r>
        <w:t xml:space="preserve">Sæt en prop med et klargjort gærrør på alle fire kolber, og start stopuret samtidig for alle fire.</w:t>
      </w:r>
    </w:p>
    <w:bookmarkEnd w:id="21"/>
    <w:bookmarkStart w:id="22" w:name="c.-observation-af-gæringen"/>
    <w:p>
      <w:pPr>
        <w:pStyle w:val="Heading3"/>
      </w:pPr>
      <w:r>
        <w:t xml:space="preserve">C. Observation af gæringen</w:t>
      </w:r>
    </w:p>
    <w:p>
      <w:pPr>
        <w:pStyle w:val="Compact"/>
        <w:numPr>
          <w:ilvl w:val="0"/>
          <w:numId w:val="1003"/>
        </w:numPr>
      </w:pPr>
      <w:r>
        <w:t xml:space="preserve">Notér, hvornår den første boble forlader hvert gærrør.</w:t>
      </w:r>
    </w:p>
    <w:p>
      <w:pPr>
        <w:pStyle w:val="Compact"/>
        <w:numPr>
          <w:ilvl w:val="0"/>
          <w:numId w:val="1003"/>
        </w:numPr>
      </w:pPr>
      <w:r>
        <w:t xml:space="preserve">Tæl antallet af bobler, der forlader hvert gærrør i løbet af ét minut. Gør det 3-4 gange i løbet af forsøget, fx efter 5, 15 og 30 minutter, og notér det præcise tidspunkt hver gang.</w:t>
      </w:r>
    </w:p>
    <w:p>
      <w:pPr>
        <w:pStyle w:val="Compact"/>
        <w:numPr>
          <w:ilvl w:val="0"/>
          <w:numId w:val="1003"/>
        </w:numPr>
      </w:pPr>
      <w:r>
        <w:t xml:space="preserve">Hold øje med farven af BTB i gærrørene undervejs, og notér hvornår og hvordan den ændrer sig.</w:t>
      </w:r>
    </w:p>
    <w:bookmarkEnd w:id="22"/>
    <w:bookmarkStart w:id="32" w:name="d.-oprydning"/>
    <w:p>
      <w:pPr>
        <w:pStyle w:val="Heading3"/>
      </w:pPr>
      <w:r>
        <w:t xml:space="preserve">D. Oprydning</w:t>
      </w:r>
    </w:p>
    <w:p>
      <w:pPr>
        <w:pStyle w:val="Compact"/>
        <w:numPr>
          <w:ilvl w:val="0"/>
          <w:numId w:val="1004"/>
        </w:numPr>
      </w:pPr>
      <w:r>
        <w:t xml:space="preserve">Kolberne tømmes, og udstyret skylles og rengøres.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  <w:keepNext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4" name="Picture"/>
                  <a:graphic>
                    <a:graphicData uri="http://schemas.openxmlformats.org/drawingml/2006/picture">
                      <pic:pic>
                        <pic:nvPicPr>
                          <pic:cNvPr descr="/Applications/quarto/share/formats/docx/tip.png" id="2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Bromthymolblåt skifter farve med pH: blåt ved pH over 7,6, grønt ved pH 6,0-7,6, og gult under pH 6,0. Jo mere CO₂, der opløses i vandet, jo surere bliver det.</w:t>
            </w:r>
          </w:p>
          <w:p/>
        </w:tc>
      </w:tr>
    </w:tbl>
    <w:p>
      <w:pPr>
        <w:pStyle w:val="BodyText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  <w:keepNext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7" name="Picture"/>
                  <a:graphic>
                    <a:graphicData uri="http://schemas.openxmlformats.org/drawingml/2006/picture">
                      <pic:pic>
                        <pic:nvPicPr>
                          <pic:cNvPr descr="/Applications/quarto/share/formats/docx/note.png" id="28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Materialer (pr. gruppe)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Tørgær (i alt ca. 80 g)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Sukker (i alt ca. 100 g)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Vand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Bromthymolblåt (BTB)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4 × 250 mL konisk kolbe med prop og gærrør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Spatel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Termometer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Vægt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2 varmeplader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Stopur</w:t>
            </w:r>
          </w:p>
          <w:p/>
        </w:tc>
      </w:tr>
    </w:tbl>
    <w:p>
      <w:pPr>
        <w:pStyle w:val="FirstParagraph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CC1914"/>
          <w:left w:val="single" w:sz="24" w:space="0" w:color="CC1914"/>
          <w:bottom w:val="single" w:sz="4" w:space="0" w:color="CC1914"/>
          <w:right w:val="single" w:sz="4" w:space="0" w:color="CC1914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7dddc" w:val="clear"/>
            <w:tcMar>
              <w:top w:w="92" w:type="dxa"/>
              <w:bottom w:w="92" w:type="dxa"/>
            </w:tcMar>
          </w:tcPr>
          <w:p>
            <w:pPr>
              <w:pStyle w:val="BodyText"/>
              <w:keepNext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30" name="Picture"/>
                  <a:graphic>
                    <a:graphicData uri="http://schemas.openxmlformats.org/drawingml/2006/picture">
                      <pic:pic>
                        <pic:nvPicPr>
                          <pic:cNvPr descr="/Applications/quarto/share/formats/docx/important.png" id="3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Sikkerhed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Varmepladerne og det opvarmede vand kan give forbrændinger — pas på ved håndtering, og lad varmepladerne køle af efter brug.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Bromthymolblåt (BTB) kan irritere hud og øjne. Undgå kontakt, og skyl straks med vand ved spild.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Vask hænder efter øvelsen. Spis og drik ikke i laboratoriet.</w:t>
            </w:r>
          </w:p>
          <w:p/>
        </w:tc>
      </w:tr>
    </w:tbl>
    <w:bookmarkEnd w:id="32"/>
    <w:bookmarkEnd w:id="33"/>
    <w:bookmarkStart w:id="34" w:name="registrering-af-resultater"/>
    <w:p>
      <w:pPr>
        <w:pStyle w:val="Heading2"/>
      </w:pPr>
      <w:r>
        <w:t xml:space="preserve">Registrering af resultater</w:t>
      </w:r>
    </w:p>
    <w:p>
      <w:pPr>
        <w:pStyle w:val="TableCaption"/>
      </w:pPr>
      <w:r>
        <w:t xml:space="preserve">Iagttagelser fra de fire gærrør.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  <w:tblCaption w:val="Iagttagelser fra de fire gærrør."/>
      </w:tblPr>
      <w:tblGrid>
        <w:gridCol w:w="1320"/>
        <w:gridCol w:w="1650"/>
        <w:gridCol w:w="1650"/>
        <w:gridCol w:w="1650"/>
        <w:gridCol w:w="1650"/>
      </w:tblGrid>
      <w:tr>
        <w:trPr>
          <w:cantSplit/>
          <w:tblHeader w:val="on"/>
        </w:trPr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  <w:jc w:val="center"/>
            </w:pPr>
            <w:r>
              <w:t xml:space="preserve">Kolbe 1 (gær + sukker tørt)</w:t>
            </w:r>
          </w:p>
        </w:tc>
        <w:tc>
          <w:tcPr/>
          <w:p>
            <w:pPr>
              <w:pStyle w:val="Compact"/>
              <w:keepNext/>
              <w:jc w:val="center"/>
            </w:pPr>
            <w:r>
              <w:t xml:space="preserve">Kolbe 2 (stuetemp.)</w:t>
            </w:r>
          </w:p>
        </w:tc>
        <w:tc>
          <w:tcPr/>
          <w:p>
            <w:pPr>
              <w:pStyle w:val="Compact"/>
              <w:keepNext/>
              <w:jc w:val="center"/>
            </w:pPr>
            <w:r>
              <w:t xml:space="preserve">Kolbe 3 (håndvarmt)</w:t>
            </w:r>
          </w:p>
        </w:tc>
        <w:tc>
          <w:tcPr/>
          <w:p>
            <w:pPr>
              <w:pStyle w:val="Compact"/>
              <w:keepNext/>
              <w:jc w:val="center"/>
            </w:pPr>
            <w:r>
              <w:t xml:space="preserve">Kolbe 4 (varmt)</w:t>
            </w:r>
          </w:p>
        </w:tc>
      </w:tr>
      <w:tr>
        <w:trPr>
          <w:cantSplit/>
        </w:trPr>
        <w:tc>
          <w:tcPr/>
          <w:p>
            <w:pPr>
              <w:pStyle w:val="Compact"/>
              <w:keepNext/>
              <w:jc w:val="left"/>
            </w:pPr>
            <w:r>
              <w:t xml:space="preserve">Vandets temperatur</w:t>
            </w: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</w:tr>
      <w:tr>
        <w:trPr>
          <w:cantSplit/>
        </w:trPr>
        <w:tc>
          <w:tcPr/>
          <w:p>
            <w:pPr>
              <w:pStyle w:val="Compact"/>
              <w:keepNext/>
              <w:jc w:val="left"/>
            </w:pPr>
            <w:r>
              <w:t xml:space="preserve">BTB-farve ved start</w:t>
            </w: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</w:tr>
      <w:tr>
        <w:trPr>
          <w:cantSplit/>
        </w:trPr>
        <w:tc>
          <w:tcPr/>
          <w:p>
            <w:pPr>
              <w:pStyle w:val="Compact"/>
              <w:keepNext/>
              <w:jc w:val="left"/>
            </w:pPr>
            <w:r>
              <w:t xml:space="preserve">Tid for første boble (min)</w:t>
            </w: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</w:tr>
      <w:tr>
        <w:trPr>
          <w:cantSplit/>
        </w:trPr>
        <w:tc>
          <w:tcPr/>
          <w:p>
            <w:pPr>
              <w:pStyle w:val="Compact"/>
              <w:keepNext/>
              <w:jc w:val="left"/>
            </w:pPr>
            <w:r>
              <w:t xml:space="preserve">Antal bobler/min efter 5 min</w:t>
            </w: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</w:tr>
      <w:tr>
        <w:trPr>
          <w:cantSplit/>
        </w:trPr>
        <w:tc>
          <w:tcPr/>
          <w:p>
            <w:pPr>
              <w:pStyle w:val="Compact"/>
              <w:keepNext/>
              <w:jc w:val="left"/>
            </w:pPr>
            <w:r>
              <w:t xml:space="preserve">Antal bobler/min efter 15 min</w:t>
            </w: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</w:tr>
      <w:tr>
        <w:trPr>
          <w:cantSplit/>
        </w:trPr>
        <w:tc>
          <w:tcPr/>
          <w:p>
            <w:pPr>
              <w:pStyle w:val="Compact"/>
              <w:keepNext/>
              <w:jc w:val="left"/>
            </w:pPr>
            <w:r>
              <w:t xml:space="preserve">Antal bobler/min efter 30 min</w:t>
            </w: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BTB-farve og tidspunkt for ændring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34"/>
    <w:sectPr>
      <w:headerReference r:id="rId7" w:type="default"/>
      <w:footerReference r:id="rId8" w:type="default"/>
      <w:pgSz w:h="16838" w:orient="portrait" w:w="11906"/>
      <w:pgMar w:bottom="1224" w:footer="500" w:gutter="0" w:header="500" w:left="1152" w:right="1152" w:top="1224"/>
      <w:pgNumType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="http://schemas.openxmlformats.org/wordprocessingml/2006/main">
  <w:p>
    <w:pPr>
      <w:pBdr>
        <w:top w:val="single" w:color="A9BBA1" w:sz="4" w:space="6"/>
      </w:pBdr>
      <w:tabs>
        <w:tab w:val="right" w:pos="9026"/>
      </w:tabs>
    </w:pPr>
    <w:r>
      <w:rPr>
        <w:rFonts w:ascii="Calibri" w:cs="Calibri" w:eastAsia="Calibri" w:hAnsi="Calibri"/>
        <w:i/>
        <w:iCs/>
        <w:color w:val="6B7A66"/>
        <w:sz w:val="16"/>
        <w:szCs w:val="16"/>
      </w:rPr>
      <w:t xml:space="preserve">Øvelsesvejledning</w:t>
    </w:r>
    <w:r>
      <w:rPr>
        <w:rFonts w:ascii="Calibri" w:cs="Calibri" w:eastAsia="Calibri" w:hAnsi="Calibri"/>
      </w:rPr>
      <w:t xml:space="preserve">	</w:t>
    </w:r>
    <w:r>
      <w:rPr>
        <w:rFonts w:ascii="Calibri" w:cs="Calibri" w:eastAsia="Calibri" w:hAnsi="Calibri"/>
        <w:color w:val="6B7A66"/>
        <w:sz w:val="16"/>
        <w:szCs w:val="16"/>
      </w:rPr>
      <w:t xml:space="preserve">Side </w:t>
    </w:r>
    <w:r>
      <w:rPr>
        <w:rFonts w:ascii="Calibri" w:cs="Calibri" w:eastAsia="Calibri" w:hAnsi="Calibri"/>
        <w:color w:val="6B7A66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6B7A66"/>
        <w:sz w:val="16"/>
        <w:szCs w:val="16"/>
      </w:rPr>
      <w:t xml:space="preserve"> af </w:t>
    </w:r>
    <w:r>
      <w:rPr>
        <w:rFonts w:ascii="Calibri" w:cs="Calibri" w:eastAsia="Calibri" w:hAnsi="Calibri"/>
        <w:color w:val="6B7A66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="http://schemas.openxmlformats.org/wordprocessingml/2006/main">
  <w:p>
    <w:pPr>
      <w:pBdr>
        <w:bottom w:val="single" w:color="A9BBA1" w:sz="4" w:space="6"/>
      </w:pBdr>
      <w:tabs>
        <w:tab w:val="right" w:pos="9026"/>
      </w:tabs>
      <w:spacing w:after="0"/>
    </w:pPr>
    <w:r>
      <w:rPr>
        <w:rFonts w:ascii="Calibri" w:cs="Calibri" w:eastAsia="Calibri" w:hAnsi="Calibri"/>
        <w:b/>
        <w:bCs/>
        <w:color w:val="6B7A66"/>
        <w:spacing w:val="18"/>
        <w:sz w:val="16"/>
        <w:szCs w:val="16"/>
      </w:rPr>
      <w:t xml:space="preserve">BIOLOGI</w:t>
    </w:r>
    <w:r>
      <w:rPr>
        <w:rFonts w:ascii="Calibri" w:cs="Calibri" w:eastAsia="Calibri" w:hAnsi="Calibri"/>
      </w:rPr>
      <w:t xml:space="preserve">	</w:t>
    </w:r>
    <w:r>
      <w:rPr>
        <w:rFonts w:ascii="Calibri" w:cs="Calibri" w:eastAsia="Calibri" w:hAnsi="Calibri"/>
        <w:color w:val="6B7A66"/>
        <w:spacing w:val="10"/>
        <w:sz w:val="16"/>
        <w:szCs w:val="16"/>
      </w:rPr>
      <w:t xml:space="preserve"/>
    </w:r>
  </w:p>
</w:hdr>
</file>

<file path=word/numbering.xml><?xml version="1.0" encoding="utf-8"?>
<w:numbering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15:restartNumberingAfterBreak="0" w:abstractNumId="1">
    <w:multiLevelType w:val="hybridMultilevel"/>
    <w:lvl w15:tentative="1" w:ilvl="0">
      <w:start w:val="1"/>
      <w:numFmt w:val="bullet"/>
      <w:lvlText w:val="●"/>
      <w:lvlJc w:val="left"/>
      <w:pPr>
        <w:ind w:hanging="360" w:left="720"/>
      </w:pPr>
    </w:lvl>
    <w:lvl w15:tentative="1" w:ilvl="1">
      <w:start w:val="1"/>
      <w:numFmt w:val="bullet"/>
      <w:lvlText w:val="○"/>
      <w:lvlJc w:val="left"/>
      <w:pPr>
        <w:ind w:hanging="360" w:left="1440"/>
      </w:pPr>
    </w:lvl>
    <w:lvl w15:tentative="1" w:ilvl="2">
      <w:start w:val="1"/>
      <w:numFmt w:val="bullet"/>
      <w:lvlText w:val="■"/>
      <w:lvlJc w:val="left"/>
      <w:pPr>
        <w:ind w:hanging="360" w:left="2160"/>
      </w:pPr>
    </w:lvl>
    <w:lvl w15:tentative="1" w:ilvl="3">
      <w:start w:val="1"/>
      <w:numFmt w:val="bullet"/>
      <w:lvlText w:val="●"/>
      <w:lvlJc w:val="left"/>
      <w:pPr>
        <w:ind w:hanging="360" w:left="2880"/>
      </w:pPr>
    </w:lvl>
    <w:lvl w15:tentative="1" w:ilvl="4">
      <w:start w:val="1"/>
      <w:numFmt w:val="bullet"/>
      <w:lvlText w:val="○"/>
      <w:lvlJc w:val="left"/>
      <w:pPr>
        <w:ind w:hanging="360" w:left="3600"/>
      </w:pPr>
    </w:lvl>
    <w:lvl w15:tentative="1" w:ilvl="5">
      <w:start w:val="1"/>
      <w:numFmt w:val="bullet"/>
      <w:lvlText w:val="■"/>
      <w:lvlJc w:val="left"/>
      <w:pPr>
        <w:ind w:hanging="360" w:left="4320"/>
      </w:pPr>
    </w:lvl>
    <w:lvl w15:tentative="1" w:ilvl="6">
      <w:start w:val="1"/>
      <w:numFmt w:val="bullet"/>
      <w:lvlText w:val="●"/>
      <w:lvlJc w:val="left"/>
      <w:pPr>
        <w:ind w:hanging="360" w:left="5040"/>
      </w:pPr>
    </w:lvl>
    <w:lvl w15:tentative="1" w:ilvl="7">
      <w:start w:val="1"/>
      <w:numFmt w:val="bullet"/>
      <w:lvlText w:val="●"/>
      <w:lvlJc w:val="left"/>
      <w:pPr>
        <w:ind w:hanging="360" w:left="5760"/>
      </w:pPr>
    </w:lvl>
    <w:lvl w15:tentative="1" w:ilvl="8">
      <w:start w:val="1"/>
      <w:numFmt w:val="bullet"/>
      <w:lvlText w:val="●"/>
      <w:lvlJc w:val="left"/>
      <w:pPr>
        <w:ind w:hanging="360" w:left="6480"/>
      </w:pPr>
    </w:lvl>
  </w:abstractNum>
  <w:abstractNum w15:restartNumberingAfterBreak="0" w:abstractNumId="2">
    <w:multiLevelType w:val="hybridMultilevel"/>
    <w:lvl w15:tentative="1" w:ilvl="0">
      <w:start w:val="1"/>
      <w:numFmt w:val="decimal"/>
      <w:lvlText w:val="%1."/>
      <w:lvlJc w:val="start"/>
      <w:pPr>
        <w:ind w:hanging="300" w:left="420"/>
      </w:pPr>
    </w:lvl>
  </w:abstractNum>
  <w:abstractNum w15:restartNumberingAfterBreak="0" w:abstractNumId="3">
    <w:multiLevelType w:val="hybridMultilevel"/>
    <w:lvl w15:tentative="1" w:ilvl="0">
      <w:start w:val="1"/>
      <w:numFmt w:val="bullet"/>
      <w:lvlText w:val="–"/>
      <w:lvlJc w:val="start"/>
      <w:pPr>
        <w:ind w:hanging="200" w:left="32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displayBackgroundShape/>
  <w:embedSystemFonts/>
  <w:proofState w:grammar="clean" w:spelling="clean"/>
  <w:stylePaneFormatFilter w:val="0004"/>
  <w:doNotTrackMoves/>
  <w:defaultTabStop w:val="720"/>
  <w:evenAndOddHeaders w:val="false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</w:compat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6332B"/>
        <w:sz w:val="22"/>
        <w:szCs w:val="22"/>
        <w:lang w:val="da"/>
      </w:rPr>
    </w:rPrDefault>
    <w:pPrDefault>
      <w:pPr>
        <w:spacing w:after="140" w:line="276" w:lineRule="auto"/>
      </w:pPr>
    </w:pPrDefault>
  </w:docDefaults>
  <w:style w:default="1" w:styleId="Normal" w:type="paragraph">
    <w:name w:val="Normal"/>
    <w:qFormat/>
  </w:style>
  <w:style w:styleId="Title" w:type="paragraph">
    <w:name w:val="Title"/>
    <w:basedOn w:val="Normal"/>
    <w:next w:val="Normal"/>
    <w:qFormat/>
    <w:pPr>
      <w:spacing w:after="80" w:before="40"/>
    </w:pPr>
    <w:rPr>
      <w:b/>
      <w:bCs/>
      <w:color w:val="2C4527"/>
      <w:sz w:val="52"/>
      <w:szCs w:val="52"/>
    </w:rPr>
  </w:style>
  <w:style w:styleId="Subtitle" w:type="paragraph">
    <w:name w:val="Subtitle"/>
    <w:basedOn w:val="Normal"/>
    <w:next w:val="Normal"/>
    <w:qFormat/>
    <w:pPr>
      <w:spacing w:after="220" w:before="0"/>
    </w:pPr>
    <w:rPr>
      <w:color w:val="6B7A66"/>
      <w:sz w:val="20"/>
    </w:rPr>
  </w:style>
  <w:style w:styleId="Heading1" w:type="paragraph">
    <w:name w:val="Heading 1"/>
    <w:basedOn w:val="Normal"/>
    <w:next w:val="Normal"/>
    <w:qFormat/>
    <w:pPr>
      <w:pBdr>
        <w:left w:color="3F5F3A" w:space="8" w:sz="18" w:val="single"/>
      </w:pBdr>
      <w:spacing w:after="140" w:before="320"/>
      <w:ind w:left="140"/>
    </w:pPr>
    <w:rPr>
      <w:b/>
      <w:bCs/>
      <w:color w:val="2C4527"/>
      <w:sz w:val="32"/>
      <w:szCs w:val="32"/>
    </w:rPr>
  </w:style>
  <w:style w:styleId="Heading2" w:type="paragraph">
    <w:name w:val="Heading 2"/>
    <w:basedOn w:val="Normal"/>
    <w:next w:val="Normal"/>
    <w:qFormat/>
    <w:pPr>
      <w:pBdr>
        <w:left w:color="3F5F3A" w:space="8" w:sz="18" w:val="single"/>
      </w:pBdr>
      <w:spacing w:after="120" w:before="300"/>
      <w:ind w:left="140"/>
    </w:pPr>
    <w:rPr>
      <w:b/>
      <w:bCs/>
      <w:color w:val="2C4527"/>
      <w:sz w:val="27"/>
      <w:szCs w:val="27"/>
    </w:rPr>
  </w:style>
  <w:style w:styleId="Heading3" w:type="paragraph">
    <w:name w:val="Heading 3"/>
    <w:basedOn w:val="Normal"/>
    <w:next w:val="Normal"/>
    <w:qFormat/>
    <w:pPr>
      <w:spacing w:after="100" w:before="200"/>
    </w:pPr>
    <w:rPr>
      <w:b/>
      <w:bCs/>
      <w:color w:val="3F5F3A"/>
      <w:sz w:val="24"/>
      <w:szCs w:val="24"/>
    </w:rPr>
  </w:style>
  <w:style w:styleId="Heading4" w:type="paragraph">
    <w:name w:val="Heading 4"/>
    <w:basedOn w:val="Normal"/>
    <w:next w:val="Normal"/>
    <w:qFormat/>
    <w:rPr>
      <w:i/>
      <w:iCs/>
      <w:color w:val="3F5F3A"/>
    </w:rPr>
  </w:style>
  <w:style w:styleId="Heading5" w:type="paragraph">
    <w:name w:val="Heading 5"/>
    <w:basedOn w:val="Normal"/>
    <w:next w:val="Normal"/>
    <w:qFormat/>
    <w:rPr>
      <w:color w:val="3F5F3A"/>
    </w:rPr>
  </w:style>
  <w:style w:styleId="Heading6" w:type="paragraph">
    <w:name w:val="Heading 6"/>
    <w:basedOn w:val="Normal"/>
    <w:next w:val="Normal"/>
    <w:qFormat/>
    <w:rPr>
      <w:color w:val="6B7A66"/>
    </w:rPr>
  </w:style>
  <w:style w:styleId="Strong" w:type="paragraph">
    <w:name w:val="Strong"/>
    <w:basedOn w:val="Normal"/>
    <w:next w:val="Normal"/>
    <w:qFormat/>
    <w:rPr>
      <w:b/>
      <w:bCs/>
    </w:rPr>
  </w:style>
  <w:style w:styleId="ListParagraph" w:type="paragraph">
    <w:name w:val="List Paragraph"/>
    <w:basedOn w:val="Normal"/>
    <w:qFormat/>
  </w:style>
  <w:style w:styleId="BodyText" w:type="paragraph">
    <w:name w:val="Body Text"/>
    <w:basedOn w:val="Normal"/>
    <w:next w:val="Normal"/>
    <w:qFormat/>
  </w:style>
  <w:style w:styleId="FirstParagraph" w:type="paragraph">
    <w:name w:val="First Paragraph"/>
    <w:basedOn w:val="Normal"/>
    <w:next w:val="Normal"/>
    <w:qFormat/>
    <w:pPr>
      <w:spacing w:before="0"/>
    </w:pPr>
  </w:style>
  <w:style w:styleId="Compact" w:type="paragraph">
    <w:name w:val="Compact"/>
    <w:basedOn w:val="ListParagraph"/>
    <w:next w:val="Compact"/>
    <w:qFormat/>
    <w:pPr>
      <w:spacing w:after="90" w:line="276" w:lineRule="auto"/>
    </w:pPr>
  </w:style>
  <w:style w:styleId="CaptionedFigure" w:type="paragraph">
    <w:name w:val="Captioned Figure"/>
    <w:basedOn w:val="Normal"/>
    <w:next w:val="Normal"/>
    <w:qFormat/>
    <w:pPr>
      <w:spacing w:after="0" w:before="120"/>
      <w:jc w:val="center"/>
    </w:pPr>
  </w:style>
  <w:style w:styleId="Caption" w:type="paragraph">
    <w:name w:val="Caption"/>
    <w:basedOn w:val="Normal"/>
    <w:next w:val="Normal"/>
    <w:qFormat/>
    <w:pPr>
      <w:spacing w:after="220" w:before="100"/>
      <w:jc w:val="center"/>
    </w:pPr>
    <w:rPr>
      <w:i/>
      <w:iCs/>
      <w:color w:val="6B7A66"/>
      <w:sz w:val="19"/>
      <w:szCs w:val="19"/>
    </w:rPr>
  </w:style>
  <w:style w:styleId="ImageCaption" w:type="paragraph">
    <w:name w:val="Image Caption"/>
    <w:basedOn w:val="Caption"/>
    <w:next w:val="Normal"/>
    <w:qFormat/>
  </w:style>
  <w:style w:styleId="Table" w:type="table">
    <w:name w:val="Table"/>
    <w:basedOn w:val="TableNormal"/>
    <w:uiPriority w:val="99"/>
    <w:pPr>
      <w:spacing w:after="0" w:line="256" w:lineRule="auto"/>
    </w:pPr>
    <w:tblPr>
      <w:tblBorders>
        <w:top w:color="8FA085" w:space="0" w:sz="4" w:val="single"/>
        <w:left w:color="8FA085" w:space="0" w:sz="4" w:val="single"/>
        <w:bottom w:color="8FA085" w:space="0" w:sz="4" w:val="single"/>
        <w:right w:color="8FA085" w:space="0" w:sz="4" w:val="single"/>
        <w:insideH w:color="C7D0C0" w:space="0" w:sz="4" w:val="single"/>
        <w:insideV w:color="C7D0C0" w:space="0" w:sz="4" w:val="single"/>
      </w:tblBorders>
    </w:tblPr>
    <w:tcPr>
      <w:tcMar>
        <w:top w:type="dxa" w:w="90"/>
        <w:left w:type="dxa" w:w="120"/>
        <w:bottom w:type="dxa" w:w="90"/>
        <w:right w:type="dxa" w:w="120"/>
      </w:tcMar>
    </w:tcPr>
  </w:style>
  <w:style w:default="1" w:styleId="TableNormal" w:type="table">
    <w:name w:val="Normal Table"/>
    <w:uiPriority w:val="99"/>
    <w:semiHidden/>
    <w:unhideWhenUsed/>
    <w:tblPr>
      <w:tblCellMar>
        <w:top w:type="dxa" w:w="0"/>
        <w:left w:type="dxa" w:w="108"/>
        <w:bottom w:type="dxa" w:w="0"/>
        <w:right w:type="dxa" w:w="108"/>
      </w:tblCellMar>
    </w:tblPr>
  </w:style>
  <w:style w:styleId="FirstRow" w:type="table">
    <w:name w:val="First Row"/>
    <w:basedOn w:val="Table"/>
    <w:uiPriority w:val="99"/>
  </w:style>
  <w:style w:styleId="Hyperlink" w:type="character">
    <w:name w:val="Hyperlink"/>
    <w:basedOn w:val="DefaultParagraphFont"/>
    <w:uiPriority w:val="99"/>
    <w:unhideWhenUsed/>
    <w:rPr>
      <w:color w:val="1F5F8B"/>
      <w:u w:val="single"/>
    </w:rPr>
  </w:style>
  <w:style w:styleId="FootnoteReference" w:type="character">
    <w:name w:val="footnote reference"/>
    <w:basedOn w:val="DefaultParagraphFont"/>
    <w:uiPriority w:val="99"/>
    <w:semiHidden/>
    <w:unhideWhenUsed/>
    <w:rPr>
      <w:vertAlign w:val="superscript"/>
    </w:rPr>
  </w:style>
  <w:style w:styleId="FootnoteText" w:type="paragraph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styleId="FootnoteTextChar" w:type="characte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styleId="EndnoteReference" w:type="character">
    <w:name w:val="endnote reference"/>
    <w:basedOn w:val="DefaultParagraphFont"/>
    <w:uiPriority w:val="99"/>
    <w:semiHidden/>
    <w:unhideWhenUsed/>
    <w:rPr>
      <w:vertAlign w:val="superscript"/>
    </w:rPr>
  </w:style>
  <w:style w:styleId="EndnoteText" w:type="paragraph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styleId="EndnoteTextChar" w:type="characte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7" Target="header1.xml" Type="http://schemas.openxmlformats.org/officeDocument/2006/relationships/header" /><Relationship Id="rId8" Target="footer1.xml" Type="http://schemas.openxmlformats.org/officeDocument/2006/relationships/footer" /><Relationship Id="rId9" Target="media/ff4355ab3d7b3fb047ac1bb9b81f09919282c810.png" Type="http://schemas.openxmlformats.org/officeDocument/2006/relationships/image" /><Relationship Id="rId10" Target="media/22118e1eede36edf4136c10d3e20d9ff95fafa9e.png" Type="http://schemas.openxmlformats.org/officeDocument/2006/relationships/image" /><Relationship Type="http://schemas.openxmlformats.org/officeDocument/2006/relationships/image" Id="rId29" Target="media/rId29.png" /><Relationship Type="http://schemas.openxmlformats.org/officeDocument/2006/relationships/image" Id="rId26" Target="media/rId26.png" /><Relationship Type="http://schemas.openxmlformats.org/officeDocument/2006/relationships/image" Id="rId23" Target="media/rId23.png" 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 />
</file>

<file path=word/_rels/header1.xml.rels><?xml version="1.0" encoding="UTF-8"?><Relationships xmlns="http://schemas.openxmlformats.org/package/2006/relationships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Gærforsøg — bobleforsøg</dc:title>
  <dc:creator/>
  <dc:language>da</dc:language>
  <cp:keywords/>
  <dcterms:created xsi:type="dcterms:W3CDTF">2026-09-11T21:44:28Z</dcterms:created>
  <dcterms:modified xsi:type="dcterms:W3CDTF">2026-09-11T21:44:28Z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blio-config">
    <vt:lpwstr>True</vt:lpwstr>
  </property>
  <property fmtid="{D5CDD505-2E9C-101B-9397-08002B2CF9AE}" pid="3" name="doc-type">
    <vt:lpwstr>Øvelsesvejledning</vt:lpwstr>
  </property>
  <property fmtid="{D5CDD505-2E9C-101B-9397-08002B2CF9AE}" pid="4" name="fag">
    <vt:lpwstr>Biologi</vt:lpwstr>
  </property>
  <property fmtid="{D5CDD505-2E9C-101B-9397-08002B2CF9AE}" pid="5" name="header-includes">
    <vt:lpwstr/>
  </property>
  <property fmtid="{D5CDD505-2E9C-101B-9397-08002B2CF9AE}" pid="6" name="hold">
    <vt:lpwstr/>
  </property>
  <property fmtid="{D5CDD505-2E9C-101B-9397-08002B2CF9AE}" pid="7" name="include-after">
    <vt:lpwstr/>
  </property>
  <property fmtid="{D5CDD505-2E9C-101B-9397-08002B2CF9AE}" pid="8" name="include-before">
    <vt:lpwstr/>
  </property>
  <property fmtid="{D5CDD505-2E9C-101B-9397-08002B2CF9AE}" pid="9" name="labels">
    <vt:lpwstr/>
  </property>
  <property fmtid="{D5CDD505-2E9C-101B-9397-08002B2CF9AE}" pid="10" name="subtitle">
    <vt:lpwstr>Laboratorieøvelse</vt:lpwstr>
  </property>
  <property fmtid="{D5CDD505-2E9C-101B-9397-08002B2CF9AE}" pid="11" name="toc-title">
    <vt:lpwstr>Indholdsfortegnelse</vt:lpwstr>
  </property>
</Properties>
</file>